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A2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Puntos de corte para clasificar el clima de aula en bajo y alto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701"/>
        <w:gridCol w:w="1474"/>
        <w:gridCol w:w="1474"/>
        <w:gridCol w:w="1474"/>
        <w:gridCol w:w="1474"/>
        <w:gridCol w:w="1474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Punto de corte (mediana)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Grupo alto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bajo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alto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(estudiantes)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(estudiantes)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(estudiantes)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Individual (estudiantes)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 corte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Escuela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 corte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La mediana es ponderada: Peso_est para el clima individual (índice de clima de aula) y Peso_esc para el clima de escuela (una fila por escuela). Con valores repetidos se eligió la regla (&gt; o ≥ el corte) que deja los grupos más cercanos a 50/50. Los porcentajes son ponderados.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2026-10-13T00:01:48Z</dcterms:modified>
  <cp:category/>
</cp:coreProperties>
</file>