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Tabla A3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4"/>
          <w:szCs w:val="24"/>
          <w:color w:val="000000"/>
        </w:rPr>
        <w:t xml:space="preserve">Porcentaje que espera votar según terciles de clima de aula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041"/>
        <w:gridCol w:w="1757"/>
        <w:gridCol w:w="1757"/>
        <w:gridCol w:w="1757"/>
        <w:gridCol w:w="1757"/>
      </w:tblGrid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CIVED 1999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ICCS 2009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ICCS 2016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PACES 2019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Clima de aula (individual)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Clima bajo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72.0% [69.2, 74.6]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58.2% [55.5, 61.0]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63.8% [61.1, 66.5]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75.1% [68.6, 80.8]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Clima medio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79.6% [77.3, 81.7]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69.5% [66.2, 72.7]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73.8% [71.0, 76.4]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82.8% [78.1, 86.9]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Clima alto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84.2% [81.9, 86.3]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72.3% [69.3, 75.2]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79.7% [77.3, 82.0]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87.7% [82.4, 92.0]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Diferencia, pp (alto − bajo)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+12.2 [+9.0, +15.3]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+14.1 [+10.7, +17.4]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+15.9 [+12.5, +19.2]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+12.7 [+4.8, +20.6]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0"/>
          <w:szCs w:val="20"/>
          <w:color w:val="000000"/>
        </w:rPr>
        <w:t xml:space="preserve">Nota.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Terciles ponderados del índice de clima de aula (Peso_est) dentro de cada cohorte. Porcentaje que espera votar, con IC 95% entre corchetes; diferencia en puntos porcentuales (pp) entre el tercil alto y el bajo. Fuente: CIVED 1999, ICCS 2009, ICCS 2016 y PACES 2019.</w:t>
      </w:r>
    </w:p>
    <w:sectPr>
      <w:pgMar w:header="709" w:bottom="1417" w:top="1417" w:right="1417" w:left="1417" w:footer="709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2026-10-13T00:01:50Z</dcterms:modified>
  <cp:category/>
</cp:coreProperties>
</file>