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68"/>
        <w:gridCol w:w="1463"/>
        <w:gridCol w:w="1242"/>
        <w:gridCol w:w="1413"/>
        <w:gridCol w:w="1242"/>
        <w:gridCol w:w="1413"/>
        <w:gridCol w:w="1511"/>
        <w:gridCol w:w="1682"/>
        <w:gridCol w:w="1022"/>
        <w:gridCol w:w="643"/>
        <w:gridCol w:w="1193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Cohorte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Pendiente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AIC_fijo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AIC_aleat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BIC_fijo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BIC_aleat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logLik_fijo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logLik_aleat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Chisq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CIVED_1999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5,655.1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5,656.3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-2,822.5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-2,821.1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CIVED_1999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5,655.1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5,656.2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5,702.7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-2,822.5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-2,821.1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ICCS_2009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6,222.6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6,225.5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6,255.1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6,271.0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-3,106.3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-3,105.7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0.5780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ICCS_2009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6,222.6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6,225.4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6,255.1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6,271.0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-3,106.3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-3,105.7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0.5760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ICCS_2016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5,596.4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5,625.2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5,641.9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-2,791.4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-2,791.2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ICCS_2016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5,625.2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5,640.1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-2,791.4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-2,790.4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PACES_2019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1,153.3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1,188.8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-572.4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-569.7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PACES_2019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1,190.2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-572.4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-570.3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2026-09-25T10:27:04Z</dcterms:modified>
  <cp:category/>
</cp:coreProperties>
</file>