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81"/>
        <w:gridCol w:w="3114"/>
        <w:gridCol w:w="1547"/>
        <w:gridCol w:w="2195"/>
        <w:gridCol w:w="2195"/>
        <w:gridCol w:w="1866"/>
        <w:gridCol w:w="2856"/>
        <w:gridCol w:w="2856"/>
      </w:tblGrid>
      <w:tr>
        <w:trPr>
          <w:trHeight w:val="623" w:hRule="auto"/>
          <w:tblHeader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Variable_contextual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Moderador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Efecto_libro1_pp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Diferencia_pp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Efecto_nivel_educ0_pp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Efecto_nivel_educ1_pp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clima_aula_escuela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M4_a2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-11.1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M4_b2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perp_aprendizaje_voto_esc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M4_c2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indice_aula_ind_cwc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libro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M4_d2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aprendizaje_voto_cwc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nivel_educ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2026-09-25T10:12:38Z</dcterms:modified>
  <cp:category/>
</cp:coreProperties>
</file>