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81"/>
        <w:gridCol w:w="887"/>
        <w:gridCol w:w="1548"/>
        <w:gridCol w:w="936"/>
        <w:gridCol w:w="2599"/>
        <w:gridCol w:w="2905"/>
        <w:gridCol w:w="1952"/>
        <w:gridCol w:w="2746"/>
        <w:gridCol w:w="2465"/>
        <w:gridCol w:w="2367"/>
        <w:gridCol w:w="2906"/>
        <w:gridCol w:w="3296"/>
      </w:tblGrid>
      <w:tr>
        <w:trPr>
          <w:trHeight w:val="623" w:hRule="auto"/>
          <w:tblHeader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Modelo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indice_aula_ind_cwc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participacion_voto_cwc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asamblea_cwc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aprendizaje_voto_cwc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clima_aula_escuela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tasa_voto_escuela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tasa_asamblea_escuela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perp_aprendizaje_voto_esc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M1_a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M1_b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M3_a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M3_b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M3_c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M3_d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2026-09-25T10:24:52Z</dcterms:modified>
  <cp:category/>
</cp:coreProperties>
</file>