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4"/>
          <w:szCs w:val="24"/>
          <w:color w:val="000000"/>
        </w:rPr>
        <w:t xml:space="preserve">Interacciones entre el origen y las experiencias escolares (M4), por cohorte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1928"/>
        <w:gridCol w:w="893"/>
        <w:gridCol w:w="893"/>
        <w:gridCol w:w="893"/>
        <w:gridCol w:w="893"/>
        <w:gridCol w:w="893"/>
        <w:gridCol w:w="893"/>
        <w:gridCol w:w="893"/>
        <w:gridCol w:w="893"/>
      </w:tblGrid>
      <w:tr>
        <w:trPr>
          <w:trHeight w:val="360" w:hRule="auto"/>
          <w:tblHeader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CIVED 1999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ICCS 2009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ICCS 2016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PACES 2019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Vía / estrategia</w:t>
            </w:r>
          </w:p>
        </w:tc>
        <w:tc>
          <w:tcPr>
            <w:tcBorders>
              <w:bottom w:val="single" w:sz="8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Libros</w:t>
            </w:r>
          </w:p>
        </w:tc>
        <w:tc>
          <w:tcPr>
            <w:tcBorders>
              <w:bottom w:val="single" w:sz="8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Educ. padres</w:t>
            </w:r>
          </w:p>
        </w:tc>
        <w:tc>
          <w:tcPr>
            <w:tcBorders>
              <w:bottom w:val="single" w:sz="8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Libros</w:t>
            </w:r>
          </w:p>
        </w:tc>
        <w:tc>
          <w:tcPr>
            <w:tcBorders>
              <w:bottom w:val="single" w:sz="8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Educ. padres</w:t>
            </w:r>
          </w:p>
        </w:tc>
        <w:tc>
          <w:tcPr>
            <w:tcBorders>
              <w:bottom w:val="single" w:sz="8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Libros</w:t>
            </w:r>
          </w:p>
        </w:tc>
        <w:tc>
          <w:tcPr>
            <w:tcBorders>
              <w:bottom w:val="single" w:sz="8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Educ. padres</w:t>
            </w:r>
          </w:p>
        </w:tc>
        <w:tc>
          <w:tcPr>
            <w:tcBorders>
              <w:bottom w:val="single" w:sz="8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Libros</w:t>
            </w:r>
          </w:p>
        </w:tc>
        <w:tc>
          <w:tcPr>
            <w:tcBorders>
              <w:bottom w:val="single" w:sz="8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Educ. padres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Clima de aula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Escuela (gmc)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1.69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1.20 =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1.18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1.43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 =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4.17* 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1.66 =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Individual (cwc)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0.65* C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1.12 =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1.23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1.04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1.09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1.04 =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Votaciones escolares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Escuela (gmc)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0.93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1.12* 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1.04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1.08 =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Individual (cwc)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1.25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1.39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1.16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1.65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1.78 =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Asambleas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Escuela (gmc)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1.02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1.01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0.93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 =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Individual (cwc)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1.17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1.30 =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Aprendizaje sobre el voto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Escuela (gmc)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1.01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0.99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Individual (cwc)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1.06 =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1.12 =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1.06 =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 =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Nota.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Cada celda muestra el OR del término de interacción entre el origen (libros en el hogar o educación de los padres) y la variable indicada, de un modelo con pendiente aleatoria de la variable de origen. =: sin interacción significativa (p ≥ .05); C: interacción significativa con OR &lt; 1 (compensación); A: interacción significativa con OR &gt; 1 (amplificación). C y A suponen que el valor 1 del origen representa más recursos. gmc = centrada en la media general; cwc = centrada en la media de la escuela; las tasas y el aprendizaje de la escuela están por cada 10 puntos porcentuales. Se realizaron 48 pruebas (CIVED 1999 8, ICCS 2009 12, ICCS 2016 16, PACES 2019 12); con α = .05 se esperan 2.4 significativas por azar. N/D = variable no disponible en la cohorte.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perscript"/>
          <w:sz w:val="20"/>
          <w:szCs w:val="20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Ajuste singular (correlación intercepto-pendiente aleatoria cercana a ±1 o varianza de la pendiente cercana a 0): los efectos fijos son utilizables, pero las varianzas aleatorias no se interpretan.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perscript"/>
          <w:sz w:val="20"/>
          <w:szCs w:val="20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La prueba de razón de verosimilitud contra el modelo sin la interacción no es significativa al 5% en: PACES 2019, libros × clima de aula (escuela; p = .05).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*</w:t>
      </w: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p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&lt; .05. **</w:t>
      </w: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p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&lt; .01. ***</w:t>
      </w: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p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&lt; .001.</w:t>
      </w:r>
    </w:p>
    <w:sectPr>
      <w:pgMar w:header="709" w:bottom="1417" w:top="1417" w:right="1417" w:left="1417" w:footer="709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2026-10-17T04:49:47Z</dcterms:modified>
  <cp:category/>
</cp:coreProperties>
</file>