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2783"/>
        <w:gridCol w:w="1547"/>
        <w:gridCol w:w="2195"/>
        <w:gridCol w:w="2195"/>
        <w:gridCol w:w="1866"/>
        <w:gridCol w:w="2856"/>
        <w:gridCol w:w="285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Variable_contextual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Moderador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Efecto_libro1_pp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Diferencia_pp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Efecto_nivel_educ1_pp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tasa_voto_escuela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-27.7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-22.4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M4_e2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21.9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M4_f2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2026-09-25T03:28:17Z</dcterms:modified>
  <cp:category/>
</cp:coreProperties>
</file>