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81"/>
        <w:gridCol w:w="887"/>
        <w:gridCol w:w="1548"/>
        <w:gridCol w:w="936"/>
        <w:gridCol w:w="2599"/>
        <w:gridCol w:w="2905"/>
        <w:gridCol w:w="1952"/>
        <w:gridCol w:w="2746"/>
        <w:gridCol w:w="3040"/>
        <w:gridCol w:w="2942"/>
        <w:gridCol w:w="3481"/>
        <w:gridCol w:w="3871"/>
      </w:tblGrid>
      <w:tr>
        <w:trPr>
          <w:trHeight w:val="623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indice_aula_ind_cwc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participacion_voto_cwc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asamblea_cwc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aprendizaje_voto_cwc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clima_aula_escuela_gmc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tasa_voto_escuela_gmc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tasa_asamblea_escuela_gmc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perp_aprendizaje_voto_esc_gmc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M1_a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M1_b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M3_a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M3_b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M3_c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M3_d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35.9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2026-10-06T10:55:28Z</dcterms:modified>
  <cp:category/>
</cp:coreProperties>
</file>