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Modelo con experiencias escolares individuales (M2), por cohorte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948"/>
        <w:gridCol w:w="1531"/>
        <w:gridCol w:w="1531"/>
        <w:gridCol w:w="1531"/>
        <w:gridCol w:w="1531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CIVED 1999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ICCS 2009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ICCS 2016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PACES 2019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Libros en el hogar (muchos)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1.59***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[1.31, 1.93]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1.24*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[1.04, 1.49]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1.34***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[1.13, 1.57]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1.45*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[1.01, 2.06]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Educación de los padres (universitaria)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1.34***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[1.13, 1.58]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[1.15, 1.55]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1.35***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[1.16, 1.58]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[0.92, 1.78]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Sexo (hombre)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1.47***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[1.26, 1.73]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[0.91, 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[0.99, 1.31]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[0.62, 1.20]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Clima de aula, individual (cwc)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[1.16, 1.52]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1.54***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[1.39, 1.72]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[1.29, 1.59]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1.55***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[1.23, 1.96]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Participación en votaciones, individual (cwc)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[1.15, 1.54]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1.86***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[1.59, 2.18]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1.67**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[1.19, 2.34]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Participación en asambleas, individual (cwc)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[0.97, 1.39]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[1.15, 1.73]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[0.61, 1.39]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Aprendizaje sobre el voto, individual (cwc)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[3.01, 4.12]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1.66***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[1.42, 1.93]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Intercepto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[1.98, 2.96]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[1.25, 1.86]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1.89***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[1.57, 2.27]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3.25***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[2.20, 4.80]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Estadísticos de ajuste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τ₀₀ (M2)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ICC (M0)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estudiantes (M2)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5,431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4,860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4,709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1,128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escuelas (M2)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R² marginal (M2)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.05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Nota.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Razones de momios (OR) de modelos logísticos multinivel (estudiantes en escuelas) con intercepto aleatorio y sin ponderadores; la variable dependiente es esperar votar (1 = sí). Entre corchetes, intervalo de confianza de Wald al 95%. Libros en el hogar (muchos = 1), educación de los padres (universitaria = 1) y sexo (hombre = 1) son dicotómicas. cwc = variable centrada en la media de su escuela. τ₀₀ = varianza del intercepto aleatorio; ICC = τ₀₀ / (τ₀₀ + π²/3), calculado con el modelo nulo (M0, todos los casos disponibles); R² marginal según Nakagawa y Schielzeth. M2 excluye los casos con datos perdidos en las experiencias escolares. N/D = variable no disponible en la cohorte.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.05. **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.01. ***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.001.</w:t>
      </w:r>
    </w:p>
    <w:sectPr>
      <w:pgMar w:header="709" w:bottom="1417" w:top="1417" w:right="1417" w:left="1417" w:footer="709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2026-10-13T03:28:32Z</dcterms:modified>
  <cp:category/>
</cp:coreProperties>
</file>