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Variables de escuela agregadas a M2 (modelos M3), por cohorte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948"/>
        <w:gridCol w:w="1531"/>
        <w:gridCol w:w="1531"/>
        <w:gridCol w:w="1531"/>
        <w:gridCol w:w="1531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CIVED 1999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PACES 2019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Clima de aula de la escuela (gmc)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 [IC 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1.68*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[1.07, 2.66]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2.16***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[1.43, 3.25]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2.54***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[1.71, 3.79]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4.91***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[2.55, 9.47]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Intensidad (pp)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+35.8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Reducción de τ₀₀ (%)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Tasa de voto de la escuela (gmc, por 10 pp)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 [IC 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[1.15, 1.31]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[1.15, 1.28]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[1.00, 1.22]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Intensidad (pp)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+15.1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Reducción de τ₀₀ (%)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Tasa de asambleas de la escuela (gmc, por 10 pp)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 [IC 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[1.05, 1.29]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[0.95, 1.18]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[0.65, 0.99]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Intensidad (pp)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−16.6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Reducción de τ₀₀ (%)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Aprendizaje sobre el voto de la escuela (gmc, por 10 pp)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 [IC 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[1.10, 1.24]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[1.17, 1.34]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Intensidad (pp)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Reducción de τ₀₀ (%)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Nota.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Cada variable de escuela se incorpora por separado a M2 (modelos M3). OR con intervalo de confianza de Wald al 95% entre corchetes. Intensidad: diferencia en puntos porcentuales de la probabilidad predicha de esperar votar entre el mínimo y el máximo observados de la variable, con las demás variables en su media y solo efectos fijos. Reducción de τ₀₀ = (τ₀₀ de M2 − τ₀₀ de M3) / τ₀₀ de M2 × 100; un valor negativo indica aumento. gmc = variable centrada en la media general; las tasas y el aprendizaje de la escuela están expresados por cada 10 puntos porcentuales. N/D = variable no disponible en la cohorte.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.05. 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.01. ***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.001.</w:t>
      </w:r>
    </w:p>
    <w:sectPr>
      <w:pgMar w:header="709" w:bottom="1417" w:top="1417" w:right="1417" w:left="1417" w:footer="709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2026-10-13T03:28:44Z</dcterms:modified>
  <cp:category/>
</cp:coreProperties>
</file>