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7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Interacciones entre el origen y las experiencias escolares (M4), por cohorte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928"/>
        <w:gridCol w:w="893"/>
        <w:gridCol w:w="893"/>
        <w:gridCol w:w="893"/>
        <w:gridCol w:w="893"/>
        <w:gridCol w:w="893"/>
        <w:gridCol w:w="893"/>
        <w:gridCol w:w="893"/>
        <w:gridCol w:w="893"/>
      </w:tblGrid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CIVED 1999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2009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2016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PACES 2019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Vía / estrategia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Libros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Educ. padres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Libros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Educ. padres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Libros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Educ. padres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Libros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Educ. padres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de aula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Escuela (gmc)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1.69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 =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 =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4.17* 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1.66 =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Individual (cwc)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0.65* C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 =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1.23 =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 =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 =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 =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 =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 =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Votaciones escolares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Escuela (gmc)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1.12* 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 =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Individual (cwc)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 =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 =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1.39 =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 =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1.65 =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1.78 =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Asambleas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Escuela (gmc)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 =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Individual (cwc)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 =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 =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 =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 =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 =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1.30 =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Aprendizaje sobre el voto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Escuela (gmc)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 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Individual (cwc)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 =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 =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 =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 =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Nota.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Cada celda muestra el OR del término de interacción entre el origen (libros en el hogar o educación de los padres) y la variable indicada, de un modelo con pendiente aleatoria de la variable de origen. =: sin interacción significativa (p ≥ .05); C: interacción significativa con OR &lt; 1 (compensación); A: interacción significativa con OR &gt; 1 (amplificación). C y A suponen que el valor 1 del origen representa más recursos. gmc = centrada en la media general; cwc = centrada en la media de la escuela; las tasas y el aprendizaje de la escuela están por cada 10 puntos porcentuales. Se realizaron 48 pruebas (CIVED 1999 8, ICCS 2009 12, ICCS 2016 16, PACES 2019 12); con α = .05 se esperan 2.4 significativas por azar. N/D = variable no disponible en la cohorte.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Ajuste singular (correlación intercepto-pendiente aleatoria cercana a ±1 o varianza de la pendiente cercana a 0): los efectos fijos son utilizables, pero las varianzas aleatorias no se interpretan.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La prueba de razón de verosimilitud contra el modelo sin la interacción no es significativa al 5% en: PACES 2019, libros × clima de aula (escuela; p = .05).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*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p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&lt; .05. **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p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&lt; .01. ***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p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&lt; .001.</w:t>
      </w:r>
    </w:p>
    <w:sectPr>
      <w:pgMar w:header="709" w:bottom="1417" w:top="1417" w:right="1417" w:left="1417" w:footer="70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2026-10-13T03:28:59Z</dcterms:modified>
  <cp:category/>
</cp:coreProperties>
</file>