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C3743B">
      <w:pPr>
        <w:pStyle w:val="2"/>
      </w:pPr>
      <w:bookmarkStart w:id="0" w:name="金融资产智能问答系统-prd"/>
      <w:r>
        <w:rPr>
          <w:rFonts w:hint="eastAsia"/>
        </w:rPr>
        <w:t>金融资产智能问答系统</w:t>
      </w:r>
      <w:r>
        <w:t xml:space="preserve"> PRD</w:t>
      </w:r>
    </w:p>
    <w:p w14:paraId="02EC4D23">
      <w:pPr>
        <w:pStyle w:val="4"/>
      </w:pPr>
      <w:bookmarkStart w:id="1" w:name="摘要"/>
      <w:r>
        <w:rPr>
          <w:rFonts w:hint="eastAsia"/>
        </w:rPr>
        <w:t>摘要</w:t>
      </w:r>
    </w:p>
    <w:p w14:paraId="61711F98">
      <w:r>
        <w:rPr>
          <w:rFonts w:hint="eastAsia"/>
        </w:rPr>
        <w:t>金融资产智能问答系统旨在为个人投资者及金融顾问提供自然语言问答能力，对金融资产相关问题输出专业、准确且数据驱动的回答。系统以RAG（检索增强生成）技术为核心，实时集成权威市场数据，完成资产价格分析，并以结构化形式展示结果，确保答案的可靠性与可追溯性。</w:t>
      </w:r>
    </w:p>
    <w:p w14:paraId="7406AAEF">
      <w:r>
        <w:pict>
          <v:rect id="_x0000_i1025" o:spt="1" style="height:1.5pt;width:0pt;" coordsize="21600,21600" o:hr="t" o:hrstd="t" o:hralign="center">
            <v:path/>
            <v:fill focussize="0,0"/>
            <v:stroke/>
            <v:imagedata o:title=""/>
            <o:lock v:ext="edit"/>
            <w10:wrap type="none"/>
            <w10:anchorlock/>
          </v:rect>
        </w:pict>
      </w:r>
    </w:p>
    <w:bookmarkEnd w:id="1"/>
    <w:p w14:paraId="027AC924">
      <w:pPr>
        <w:pStyle w:val="3"/>
      </w:pPr>
      <w:bookmarkStart w:id="2" w:name="目标"/>
      <w:r>
        <w:rPr>
          <w:rFonts w:hint="eastAsia"/>
        </w:rPr>
        <w:t>目标</w:t>
      </w:r>
    </w:p>
    <w:p w14:paraId="11E20D7D">
      <w:pPr>
        <w:pStyle w:val="4"/>
      </w:pPr>
      <w:bookmarkStart w:id="3" w:name="业务目标"/>
      <w:r>
        <w:rPr>
          <w:rFonts w:hint="eastAsia"/>
        </w:rPr>
        <w:t>业务目标</w:t>
      </w:r>
    </w:p>
    <w:p w14:paraId="3EDABCDA">
      <w:pPr>
        <w:numPr>
          <w:ilvl w:val="0"/>
          <w:numId w:val="1"/>
        </w:numPr>
      </w:pPr>
      <w:r>
        <w:rPr>
          <w:rFonts w:hint="eastAsia"/>
        </w:rPr>
        <w:t>系统展示金融数据的准确率需达到95%以上。</w:t>
      </w:r>
    </w:p>
    <w:p w14:paraId="7BA5C4B8">
      <w:pPr>
        <w:numPr>
          <w:ilvl w:val="0"/>
          <w:numId w:val="1"/>
        </w:numPr>
      </w:pPr>
      <w:r>
        <w:rPr>
          <w:rFonts w:hint="eastAsia"/>
        </w:rPr>
        <w:t>在上线</w:t>
      </w:r>
      <w:bookmarkStart w:id="25" w:name="_GoBack"/>
      <w:bookmarkEnd w:id="25"/>
      <w:r>
        <w:rPr>
          <w:rFonts w:hint="eastAsia"/>
        </w:rPr>
        <w:t>6个月内，成为超过1,000名个人投资者及50家合作投顾机构首选的资产分析问答平台。</w:t>
      </w:r>
    </w:p>
    <w:p w14:paraId="6B117293">
      <w:pPr>
        <w:numPr>
          <w:ilvl w:val="0"/>
          <w:numId w:val="1"/>
        </w:numPr>
      </w:pPr>
      <w:r>
        <w:rPr>
          <w:rFonts w:hint="eastAsia"/>
        </w:rPr>
        <w:t>用户问题的100%响应需符合专业表达风格及格式，接受抽检验证。</w:t>
      </w:r>
    </w:p>
    <w:p w14:paraId="42CF43A8">
      <w:pPr>
        <w:numPr>
          <w:ilvl w:val="0"/>
          <w:numId w:val="1"/>
        </w:numPr>
      </w:pPr>
      <w:r>
        <w:rPr>
          <w:rFonts w:hint="eastAsia"/>
        </w:rPr>
        <w:t>集成不少于两套权威金融市场数据API，保证数据覆盖及冗余。</w:t>
      </w:r>
    </w:p>
    <w:p w14:paraId="6EA9A872">
      <w:pPr>
        <w:numPr>
          <w:ilvl w:val="0"/>
          <w:numId w:val="1"/>
        </w:numPr>
      </w:pPr>
      <w:r>
        <w:rPr>
          <w:rFonts w:hint="eastAsia"/>
        </w:rPr>
        <w:t>用户月度满意度评分保持在4.5/5以上。</w:t>
      </w:r>
    </w:p>
    <w:bookmarkEnd w:id="3"/>
    <w:p w14:paraId="626C4C62">
      <w:pPr>
        <w:pStyle w:val="4"/>
      </w:pPr>
      <w:bookmarkStart w:id="4" w:name="用户目标"/>
      <w:r>
        <w:rPr>
          <w:rFonts w:hint="eastAsia"/>
        </w:rPr>
        <w:t>用户目标</w:t>
      </w:r>
    </w:p>
    <w:p w14:paraId="2A92BD68">
      <w:pPr>
        <w:numPr>
          <w:ilvl w:val="0"/>
          <w:numId w:val="1"/>
        </w:numPr>
      </w:pPr>
      <w:r>
        <w:rPr>
          <w:rFonts w:hint="eastAsia"/>
        </w:rPr>
        <w:t>支持用户用自然语言提问任意覆盖资产（股票、ETF、债券）并获得及时、准确的答案。</w:t>
      </w:r>
    </w:p>
    <w:p w14:paraId="35081451">
      <w:pPr>
        <w:numPr>
          <w:ilvl w:val="0"/>
          <w:numId w:val="1"/>
        </w:numPr>
      </w:pPr>
      <w:r>
        <w:rPr>
          <w:rFonts w:hint="eastAsia"/>
        </w:rPr>
        <w:t>为机构及个人用户适配结构化、有权威出处支持的洞见。</w:t>
      </w:r>
    </w:p>
    <w:p w14:paraId="0B13A35F">
      <w:pPr>
        <w:numPr>
          <w:ilvl w:val="0"/>
          <w:numId w:val="1"/>
        </w:numPr>
      </w:pPr>
      <w:r>
        <w:rPr>
          <w:rFonts w:hint="eastAsia"/>
        </w:rPr>
        <w:t>每个答案明确标记数据来源及时间戳，提升透明度。</w:t>
      </w:r>
    </w:p>
    <w:p w14:paraId="7F74000B">
      <w:pPr>
        <w:numPr>
          <w:ilvl w:val="0"/>
          <w:numId w:val="1"/>
        </w:numPr>
      </w:pPr>
      <w:r>
        <w:rPr>
          <w:rFonts w:hint="eastAsia"/>
        </w:rPr>
        <w:t>各类查询场景下响应时长不超过3秒。</w:t>
      </w:r>
    </w:p>
    <w:p w14:paraId="18FA9365">
      <w:pPr>
        <w:numPr>
          <w:ilvl w:val="0"/>
          <w:numId w:val="1"/>
        </w:numPr>
      </w:pPr>
      <w:r>
        <w:rPr>
          <w:rFonts w:hint="eastAsia"/>
        </w:rPr>
        <w:t>回答内容在表达方式与服务能力上达到专业顾问标准，树立信任。</w:t>
      </w:r>
    </w:p>
    <w:bookmarkEnd w:id="4"/>
    <w:p w14:paraId="5F520662">
      <w:pPr>
        <w:pStyle w:val="4"/>
      </w:pPr>
      <w:bookmarkStart w:id="5" w:name="非目标"/>
      <w:r>
        <w:rPr>
          <w:rFonts w:hint="eastAsia"/>
        </w:rPr>
        <w:t>非目标</w:t>
      </w:r>
    </w:p>
    <w:p w14:paraId="0761957A">
      <w:pPr>
        <w:numPr>
          <w:ilvl w:val="0"/>
          <w:numId w:val="1"/>
        </w:numPr>
      </w:pPr>
      <w:r>
        <w:rPr>
          <w:rFonts w:hint="eastAsia"/>
        </w:rPr>
        <w:t>系统不提供未来资产预测或超出现有及历史数据分析范围的建模能力。</w:t>
      </w:r>
    </w:p>
    <w:p w14:paraId="56314BAF">
      <w:pPr>
        <w:numPr>
          <w:ilvl w:val="0"/>
          <w:numId w:val="1"/>
        </w:numPr>
      </w:pPr>
      <w:r>
        <w:rPr>
          <w:rFonts w:hint="eastAsia"/>
        </w:rPr>
        <w:t>MVP阶段不包含定制UI/UX设计及深度个性化（如仪表盘）等功能。</w:t>
      </w:r>
    </w:p>
    <w:p w14:paraId="3D0F18E9">
      <w:pPr>
        <w:numPr>
          <w:ilvl w:val="0"/>
          <w:numId w:val="1"/>
        </w:numPr>
      </w:pPr>
      <w:r>
        <w:rPr>
          <w:rFonts w:hint="eastAsia"/>
        </w:rPr>
        <w:t>本版本不支持投资组合管理及资产买卖等交易类操作。</w:t>
      </w:r>
    </w:p>
    <w:p w14:paraId="55F9681B">
      <w:r>
        <w:pict>
          <v:rect id="_x0000_i1026" o:spt="1" style="height:1.5pt;width:0pt;" coordsize="21600,21600" o:hr="t" o:hrstd="t" o:hralign="center">
            <v:path/>
            <v:fill focussize="0,0"/>
            <v:stroke/>
            <v:imagedata o:title=""/>
            <o:lock v:ext="edit"/>
            <w10:wrap type="none"/>
            <w10:anchorlock/>
          </v:rect>
        </w:pict>
      </w:r>
    </w:p>
    <w:bookmarkEnd w:id="2"/>
    <w:bookmarkEnd w:id="5"/>
    <w:p w14:paraId="23F4D00D">
      <w:pPr>
        <w:pStyle w:val="3"/>
      </w:pPr>
      <w:bookmarkStart w:id="6" w:name="用户场景"/>
      <w:r>
        <w:rPr>
          <w:rFonts w:hint="eastAsia"/>
        </w:rPr>
        <w:t>用户场景</w:t>
      </w:r>
    </w:p>
    <w:p w14:paraId="0542A003">
      <w:r>
        <w:rPr>
          <w:rFonts w:hint="eastAsia"/>
          <w:b/>
          <w:bCs/>
        </w:rPr>
        <w:t>用户画像1：个人投资者</w:t>
      </w:r>
    </w:p>
    <w:p w14:paraId="17820404">
      <w:pPr>
        <w:numPr>
          <w:ilvl w:val="0"/>
          <w:numId w:val="1"/>
        </w:numPr>
      </w:pPr>
      <w:r>
        <w:rPr>
          <w:rFonts w:hint="eastAsia"/>
        </w:rPr>
        <w:t>作为个人投资者，希望直接询问“TSLA今年以来表现如何？”，快速评估其近期业绩。</w:t>
      </w:r>
    </w:p>
    <w:p w14:paraId="4916A382">
      <w:pPr>
        <w:numPr>
          <w:ilvl w:val="0"/>
          <w:numId w:val="1"/>
        </w:numPr>
      </w:pPr>
      <w:r>
        <w:rPr>
          <w:rFonts w:hint="eastAsia"/>
        </w:rPr>
        <w:t>希望了解“MSFT上季度的主要营收驱动力”，为投资决策提供依据。</w:t>
      </w:r>
    </w:p>
    <w:p w14:paraId="7728BDC1">
      <w:pPr>
        <w:numPr>
          <w:ilvl w:val="0"/>
          <w:numId w:val="1"/>
        </w:numPr>
      </w:pPr>
      <w:r>
        <w:rPr>
          <w:rFonts w:hint="eastAsia"/>
        </w:rPr>
        <w:t>想理解像ARKK这类ETF的风险分布，以便更好地管理投资组合。</w:t>
      </w:r>
    </w:p>
    <w:p w14:paraId="6E3CEE8B">
      <w:pPr>
        <w:numPr>
          <w:ilvl w:val="0"/>
          <w:numId w:val="1"/>
        </w:numPr>
      </w:pPr>
      <w:r>
        <w:rPr>
          <w:rFonts w:hint="eastAsia"/>
        </w:rPr>
        <w:t>期望在每个答案中看到原始数据的来源及日期，以确认结论可靠。</w:t>
      </w:r>
    </w:p>
    <w:p w14:paraId="528B797E">
      <w:r>
        <w:rPr>
          <w:rFonts w:hint="eastAsia"/>
          <w:b/>
          <w:bCs/>
        </w:rPr>
        <w:t>用户画像2：金融顾问</w:t>
      </w:r>
    </w:p>
    <w:p w14:paraId="7762E5B0">
      <w:pPr>
        <w:numPr>
          <w:ilvl w:val="0"/>
          <w:numId w:val="1"/>
        </w:numPr>
      </w:pPr>
      <w:r>
        <w:rPr>
          <w:rFonts w:hint="eastAsia"/>
        </w:rPr>
        <w:t>作为金融顾问，希望查询“两种债券（如US10Y与US30Y）的收益率对比”以高效辅助客户建议。</w:t>
      </w:r>
    </w:p>
    <w:p w14:paraId="2EA9460E">
      <w:pPr>
        <w:numPr>
          <w:ilvl w:val="0"/>
          <w:numId w:val="1"/>
        </w:numPr>
      </w:pPr>
      <w:r>
        <w:rPr>
          <w:rFonts w:hint="eastAsia"/>
        </w:rPr>
        <w:t>希望可以输入技术性查询，如“列出今日市盈率低于15的所有标普500成分股”，满足客户需求。</w:t>
      </w:r>
    </w:p>
    <w:p w14:paraId="39C5891B">
      <w:pPr>
        <w:numPr>
          <w:ilvl w:val="0"/>
          <w:numId w:val="1"/>
        </w:numPr>
      </w:pPr>
      <w:r>
        <w:rPr>
          <w:rFonts w:hint="eastAsia"/>
        </w:rPr>
        <w:t>关注输出结构化（如表格、要点）的内容，以便快速嵌入客户简报。</w:t>
      </w:r>
    </w:p>
    <w:p w14:paraId="42AD6600">
      <w:pPr>
        <w:numPr>
          <w:ilvl w:val="0"/>
          <w:numId w:val="1"/>
        </w:numPr>
      </w:pPr>
      <w:r>
        <w:rPr>
          <w:rFonts w:hint="eastAsia"/>
        </w:rPr>
        <w:t>要求所有金融数据均准确无误且带有时间戳，保证建议的可信度。</w:t>
      </w:r>
    </w:p>
    <w:p w14:paraId="6958ACE2">
      <w:r>
        <w:pict>
          <v:rect id="_x0000_i1027" o:spt="1" style="height:1.5pt;width:0pt;" coordsize="21600,21600" o:hr="t" o:hrstd="t" o:hralign="center">
            <v:path/>
            <v:fill focussize="0,0"/>
            <v:stroke/>
            <v:imagedata o:title=""/>
            <o:lock v:ext="edit"/>
            <w10:wrap type="none"/>
            <w10:anchorlock/>
          </v:rect>
        </w:pict>
      </w:r>
    </w:p>
    <w:bookmarkEnd w:id="6"/>
    <w:p w14:paraId="71FD0553">
      <w:pPr>
        <w:pStyle w:val="3"/>
      </w:pPr>
      <w:bookmarkStart w:id="7" w:name="功能需求"/>
      <w:r>
        <w:rPr>
          <w:rFonts w:hint="eastAsia"/>
        </w:rPr>
        <w:t>功能需求</w:t>
      </w:r>
    </w:p>
    <w:p w14:paraId="40FC5E25">
      <w:pPr>
        <w:numPr>
          <w:ilvl w:val="0"/>
          <w:numId w:val="1"/>
        </w:numPr>
      </w:pPr>
      <w:r>
        <w:rPr>
          <w:rFonts w:hint="eastAsia"/>
          <w:b/>
          <w:bCs/>
        </w:rPr>
        <w:t>资产价格分析</w:t>
      </w:r>
      <w:r>
        <w:rPr>
          <w:rFonts w:hint="eastAsia"/>
        </w:rPr>
        <w:t>（高优先级）</w:t>
      </w:r>
    </w:p>
    <w:p w14:paraId="0820A9D5">
      <w:pPr>
        <w:numPr>
          <w:ilvl w:val="1"/>
          <w:numId w:val="1"/>
        </w:numPr>
      </w:pPr>
      <w:r>
        <w:rPr>
          <w:rFonts w:hint="eastAsia"/>
        </w:rPr>
        <w:t>支持对股票、ETF及主要债券的实时价格查询。</w:t>
      </w:r>
    </w:p>
    <w:p w14:paraId="3E61E9CD">
      <w:pPr>
        <w:numPr>
          <w:ilvl w:val="1"/>
          <w:numId w:val="1"/>
        </w:numPr>
      </w:pPr>
      <w:r>
        <w:rPr>
          <w:rFonts w:hint="eastAsia"/>
        </w:rPr>
        <w:t>提供价格历史（如YTD、1年、5年）检索，可视化为图表或表格。</w:t>
      </w:r>
    </w:p>
    <w:p w14:paraId="13C9B1FA">
      <w:pPr>
        <w:numPr>
          <w:ilvl w:val="1"/>
          <w:numId w:val="1"/>
        </w:numPr>
      </w:pPr>
      <w:r>
        <w:rPr>
          <w:rFonts w:hint="eastAsia"/>
        </w:rPr>
        <w:t>可按请求计算波动率、收益率及最大回撤等关键指标。</w:t>
      </w:r>
    </w:p>
    <w:p w14:paraId="53D7B849">
      <w:pPr>
        <w:numPr>
          <w:ilvl w:val="0"/>
          <w:numId w:val="1"/>
        </w:numPr>
      </w:pPr>
      <w:r>
        <w:rPr>
          <w:rFonts w:hint="eastAsia"/>
          <w:b/>
          <w:bCs/>
        </w:rPr>
        <w:t>基于RAG的专业金融问答引擎</w:t>
      </w:r>
      <w:r>
        <w:rPr>
          <w:rFonts w:hint="eastAsia"/>
        </w:rPr>
        <w:t>（高优先级）</w:t>
      </w:r>
    </w:p>
    <w:p w14:paraId="681D2656">
      <w:pPr>
        <w:numPr>
          <w:ilvl w:val="1"/>
          <w:numId w:val="1"/>
        </w:numPr>
      </w:pPr>
      <w:r>
        <w:rPr>
          <w:rFonts w:hint="eastAsia"/>
        </w:rPr>
        <w:t>接收针对资产、市场板块、公司等广泛问题的自然语言输入。</w:t>
      </w:r>
    </w:p>
    <w:p w14:paraId="79002915">
      <w:pPr>
        <w:numPr>
          <w:ilvl w:val="1"/>
          <w:numId w:val="1"/>
        </w:numPr>
      </w:pPr>
      <w:r>
        <w:rPr>
          <w:rFonts w:hint="eastAsia"/>
        </w:rPr>
        <w:t>多源检索（如SEC公告、主流数据API）融合答案。</w:t>
      </w:r>
    </w:p>
    <w:p w14:paraId="6214D556">
      <w:pPr>
        <w:numPr>
          <w:ilvl w:val="1"/>
          <w:numId w:val="1"/>
        </w:numPr>
      </w:pPr>
      <w:r>
        <w:rPr>
          <w:rFonts w:hint="eastAsia"/>
        </w:rPr>
        <w:t>每条回复须引用数据来源并标注时间戳。</w:t>
      </w:r>
    </w:p>
    <w:p w14:paraId="51D655EC">
      <w:pPr>
        <w:numPr>
          <w:ilvl w:val="1"/>
          <w:numId w:val="1"/>
        </w:numPr>
      </w:pPr>
      <w:r>
        <w:rPr>
          <w:rFonts w:hint="eastAsia"/>
        </w:rPr>
        <w:t>输出风格专业，符合金融顾问标准。</w:t>
      </w:r>
    </w:p>
    <w:p w14:paraId="26568FA9">
      <w:pPr>
        <w:numPr>
          <w:ilvl w:val="0"/>
          <w:numId w:val="1"/>
        </w:numPr>
      </w:pPr>
      <w:r>
        <w:rPr>
          <w:rFonts w:hint="eastAsia"/>
          <w:b/>
          <w:bCs/>
        </w:rPr>
        <w:t>结构化数据生成</w:t>
      </w:r>
      <w:r>
        <w:rPr>
          <w:rFonts w:hint="eastAsia"/>
        </w:rPr>
        <w:t>（中优先级）</w:t>
      </w:r>
    </w:p>
    <w:p w14:paraId="5F0104C4">
      <w:pPr>
        <w:numPr>
          <w:ilvl w:val="1"/>
          <w:numId w:val="1"/>
        </w:numPr>
      </w:pPr>
      <w:r>
        <w:rPr>
          <w:rFonts w:hint="eastAsia"/>
        </w:rPr>
        <w:t>强化数据密集问题的表格、要点及对比输出能力。</w:t>
      </w:r>
    </w:p>
    <w:p w14:paraId="39F8FD0A">
      <w:pPr>
        <w:numPr>
          <w:ilvl w:val="1"/>
          <w:numId w:val="1"/>
        </w:numPr>
      </w:pPr>
      <w:r>
        <w:rPr>
          <w:rFonts w:hint="eastAsia"/>
        </w:rPr>
        <w:t>支持列表型查询（如“今日标普500涨幅前五的公司”）。</w:t>
      </w:r>
    </w:p>
    <w:p w14:paraId="744C9043">
      <w:pPr>
        <w:numPr>
          <w:ilvl w:val="0"/>
          <w:numId w:val="1"/>
        </w:numPr>
      </w:pPr>
      <w:r>
        <w:rPr>
          <w:rFonts w:hint="eastAsia"/>
          <w:b/>
          <w:bCs/>
        </w:rPr>
        <w:t>市场数据API集成</w:t>
      </w:r>
      <w:r>
        <w:rPr>
          <w:rFonts w:hint="eastAsia"/>
        </w:rPr>
        <w:t>（高优先级）</w:t>
      </w:r>
    </w:p>
    <w:p w14:paraId="7CCEC9A8">
      <w:pPr>
        <w:numPr>
          <w:ilvl w:val="1"/>
          <w:numId w:val="1"/>
        </w:numPr>
      </w:pPr>
      <w:r>
        <w:rPr>
          <w:rFonts w:hint="eastAsia"/>
        </w:rPr>
        <w:t>至少接入2个可靠的市场数据API，实现冗余与覆盖。</w:t>
      </w:r>
    </w:p>
    <w:p w14:paraId="51898CF3">
      <w:pPr>
        <w:numPr>
          <w:ilvl w:val="1"/>
          <w:numId w:val="1"/>
        </w:numPr>
      </w:pPr>
      <w:r>
        <w:rPr>
          <w:rFonts w:hint="eastAsia"/>
        </w:rPr>
        <w:t>出现单一API故障时自动切换数据源，保证稳定性。</w:t>
      </w:r>
    </w:p>
    <w:p w14:paraId="4F142973">
      <w:pPr>
        <w:numPr>
          <w:ilvl w:val="0"/>
          <w:numId w:val="1"/>
        </w:numPr>
      </w:pPr>
      <w:r>
        <w:rPr>
          <w:rFonts w:hint="eastAsia"/>
          <w:b/>
          <w:bCs/>
        </w:rPr>
        <w:t>查询路由及处理机制</w:t>
      </w:r>
      <w:r>
        <w:rPr>
          <w:rFonts w:hint="eastAsia"/>
        </w:rPr>
        <w:t>（高优先级）</w:t>
      </w:r>
    </w:p>
    <w:p w14:paraId="1D99E47D">
      <w:pPr>
        <w:numPr>
          <w:ilvl w:val="1"/>
          <w:numId w:val="1"/>
        </w:numPr>
      </w:pPr>
      <w:r>
        <w:rPr>
          <w:rFonts w:hint="eastAsia"/>
        </w:rPr>
        <w:t>针对纯查找（look-up）型问题，直接路由至API快速响应。</w:t>
      </w:r>
    </w:p>
    <w:p w14:paraId="42B14222">
      <w:pPr>
        <w:numPr>
          <w:ilvl w:val="1"/>
          <w:numId w:val="1"/>
        </w:numPr>
      </w:pPr>
      <w:r>
        <w:rPr>
          <w:rFonts w:hint="eastAsia"/>
        </w:rPr>
        <w:t>对于多层复杂问题，则通过RAG流程补充文档、公告等相关内容。</w:t>
      </w:r>
    </w:p>
    <w:p w14:paraId="3A999450">
      <w:pPr>
        <w:numPr>
          <w:ilvl w:val="0"/>
          <w:numId w:val="1"/>
        </w:numPr>
      </w:pPr>
      <w:r>
        <w:rPr>
          <w:rFonts w:hint="eastAsia"/>
          <w:b/>
          <w:bCs/>
        </w:rPr>
        <w:t>基础用户界面</w:t>
      </w:r>
      <w:r>
        <w:rPr>
          <w:rFonts w:hint="eastAsia"/>
        </w:rPr>
        <w:t>（中优先级）</w:t>
      </w:r>
    </w:p>
    <w:p w14:paraId="0F70259D">
      <w:pPr>
        <w:numPr>
          <w:ilvl w:val="1"/>
          <w:numId w:val="1"/>
        </w:numPr>
      </w:pPr>
      <w:r>
        <w:rPr>
          <w:rFonts w:hint="eastAsia"/>
        </w:rPr>
        <w:t>极简主义网页端交互入口，支持自然语言问题输入。</w:t>
      </w:r>
    </w:p>
    <w:p w14:paraId="64453B44">
      <w:pPr>
        <w:numPr>
          <w:ilvl w:val="1"/>
          <w:numId w:val="1"/>
        </w:numPr>
      </w:pPr>
      <w:r>
        <w:rPr>
          <w:rFonts w:hint="eastAsia"/>
        </w:rPr>
        <w:t>清晰展示结构化与非结构化答案，突出出处与时间戳。</w:t>
      </w:r>
    </w:p>
    <w:p w14:paraId="49865C5E">
      <w:r>
        <w:pict>
          <v:rect id="_x0000_i1028" o:spt="1" style="height:1.5pt;width:0pt;" coordsize="21600,21600" o:hr="t" o:hrstd="t" o:hralign="center">
            <v:path/>
            <v:fill focussize="0,0"/>
            <v:stroke/>
            <v:imagedata o:title=""/>
            <o:lock v:ext="edit"/>
            <w10:wrap type="none"/>
            <w10:anchorlock/>
          </v:rect>
        </w:pict>
      </w:r>
    </w:p>
    <w:bookmarkEnd w:id="7"/>
    <w:p w14:paraId="5A96B99F">
      <w:pPr>
        <w:pStyle w:val="3"/>
      </w:pPr>
      <w:bookmarkStart w:id="8" w:name="用户体验"/>
      <w:r>
        <w:rPr>
          <w:rFonts w:hint="eastAsia"/>
        </w:rPr>
        <w:t>用户体验</w:t>
      </w:r>
    </w:p>
    <w:p w14:paraId="44958DD2">
      <w:r>
        <w:rPr>
          <w:rFonts w:hint="eastAsia"/>
          <w:b/>
          <w:bCs/>
        </w:rPr>
        <w:t>入口与首访体验</w:t>
      </w:r>
    </w:p>
    <w:p w14:paraId="42256AD3">
      <w:pPr>
        <w:numPr>
          <w:ilvl w:val="0"/>
          <w:numId w:val="1"/>
        </w:numPr>
      </w:pPr>
      <w:r>
        <w:rPr>
          <w:rFonts w:hint="eastAsia"/>
        </w:rPr>
        <w:t>用户通过直达链接或合作顾问机构门户访问平台。</w:t>
      </w:r>
    </w:p>
    <w:p w14:paraId="355BC9E4">
      <w:pPr>
        <w:numPr>
          <w:ilvl w:val="0"/>
          <w:numId w:val="1"/>
        </w:numPr>
      </w:pPr>
      <w:r>
        <w:rPr>
          <w:rFonts w:hint="eastAsia"/>
        </w:rPr>
        <w:t>首页有简明欢迎页，30秒引导用户了解平台定位及数据覆盖范围。</w:t>
      </w:r>
    </w:p>
    <w:p w14:paraId="43B208B2">
      <w:pPr>
        <w:numPr>
          <w:ilvl w:val="0"/>
          <w:numId w:val="1"/>
        </w:numPr>
      </w:pPr>
      <w:r>
        <w:rPr>
          <w:rFonts w:hint="eastAsia"/>
        </w:rPr>
        <w:t>MVP阶段开放式访问，无需注册账号。</w:t>
      </w:r>
    </w:p>
    <w:p w14:paraId="5D3BBEAD">
      <w:r>
        <w:rPr>
          <w:rFonts w:hint="eastAsia"/>
          <w:b/>
          <w:bCs/>
        </w:rPr>
        <w:t>核心操作流程</w:t>
      </w:r>
    </w:p>
    <w:p w14:paraId="361D0EE3">
      <w:pPr>
        <w:numPr>
          <w:ilvl w:val="0"/>
          <w:numId w:val="1"/>
        </w:numPr>
      </w:pPr>
      <w:r>
        <w:rPr>
          <w:rFonts w:hint="eastAsia"/>
          <w:b/>
          <w:bCs/>
        </w:rPr>
        <w:t>步骤1：</w:t>
      </w:r>
      <w:r>
        <w:t xml:space="preserve"> </w:t>
      </w:r>
      <w:r>
        <w:rPr>
          <w:rFonts w:hint="eastAsia"/>
        </w:rPr>
        <w:t>用户进入主查询页面。</w:t>
      </w:r>
    </w:p>
    <w:p w14:paraId="565EA147">
      <w:pPr>
        <w:numPr>
          <w:ilvl w:val="1"/>
          <w:numId w:val="1"/>
        </w:numPr>
      </w:pPr>
      <w:r>
        <w:rPr>
          <w:rFonts w:hint="eastAsia"/>
        </w:rPr>
        <w:t>显眼的输入框引导用户“询问任意资产相关问题……”</w:t>
      </w:r>
    </w:p>
    <w:p w14:paraId="109EF69A">
      <w:pPr>
        <w:numPr>
          <w:ilvl w:val="1"/>
          <w:numId w:val="1"/>
        </w:numPr>
      </w:pPr>
      <w:r>
        <w:rPr>
          <w:rFonts w:hint="eastAsia"/>
        </w:rPr>
        <w:t>提供键盘快捷键，提升可达性。</w:t>
      </w:r>
    </w:p>
    <w:p w14:paraId="1D171B0D">
      <w:pPr>
        <w:numPr>
          <w:ilvl w:val="1"/>
          <w:numId w:val="1"/>
        </w:numPr>
      </w:pPr>
      <w:r>
        <w:rPr>
          <w:rFonts w:hint="eastAsia"/>
        </w:rPr>
        <w:t>实时输入校验，空查询即时反馈。</w:t>
      </w:r>
    </w:p>
    <w:p w14:paraId="6043A9DE">
      <w:pPr>
        <w:numPr>
          <w:ilvl w:val="0"/>
          <w:numId w:val="1"/>
        </w:numPr>
      </w:pPr>
      <w:r>
        <w:rPr>
          <w:rFonts w:hint="eastAsia"/>
          <w:b/>
          <w:bCs/>
        </w:rPr>
        <w:t>步骤2：</w:t>
      </w:r>
      <w:r>
        <w:t xml:space="preserve"> </w:t>
      </w:r>
      <w:r>
        <w:rPr>
          <w:rFonts w:hint="eastAsia"/>
        </w:rPr>
        <w:t>用户发起问题，例如“展示AAPL与S&amp;P500今年以来的表现”。</w:t>
      </w:r>
    </w:p>
    <w:p w14:paraId="10442F8E">
      <w:pPr>
        <w:numPr>
          <w:ilvl w:val="1"/>
          <w:numId w:val="1"/>
        </w:numPr>
      </w:pPr>
      <w:r>
        <w:rPr>
          <w:rFonts w:hint="eastAsia"/>
        </w:rPr>
        <w:t>系统解析查询类型，直接API查找或转RAG聚合。</w:t>
      </w:r>
    </w:p>
    <w:p w14:paraId="72071400">
      <w:pPr>
        <w:numPr>
          <w:ilvl w:val="1"/>
          <w:numId w:val="1"/>
        </w:numPr>
      </w:pPr>
      <w:r>
        <w:rPr>
          <w:rFonts w:hint="eastAsia"/>
        </w:rPr>
        <w:t>显示加载动画及预计等待时间（不超过3秒）。</w:t>
      </w:r>
    </w:p>
    <w:p w14:paraId="4876832E">
      <w:pPr>
        <w:numPr>
          <w:ilvl w:val="0"/>
          <w:numId w:val="1"/>
        </w:numPr>
      </w:pPr>
      <w:r>
        <w:rPr>
          <w:rFonts w:hint="eastAsia"/>
          <w:b/>
          <w:bCs/>
        </w:rPr>
        <w:t>步骤3：</w:t>
      </w:r>
      <w:r>
        <w:t xml:space="preserve"> </w:t>
      </w:r>
      <w:r>
        <w:rPr>
          <w:rFonts w:hint="eastAsia"/>
        </w:rPr>
        <w:t>返回规范化答案。</w:t>
      </w:r>
    </w:p>
    <w:p w14:paraId="3F9EC6EB">
      <w:pPr>
        <w:numPr>
          <w:ilvl w:val="1"/>
          <w:numId w:val="1"/>
        </w:numPr>
      </w:pPr>
      <w:r>
        <w:rPr>
          <w:rFonts w:hint="eastAsia"/>
        </w:rPr>
        <w:t>包括：直接数据结论（含图表/表格）、专业条理性解释、复杂情况归纳要点，底部列明所有来源与时间戳。</w:t>
      </w:r>
    </w:p>
    <w:p w14:paraId="0DA30B5B">
      <w:pPr>
        <w:numPr>
          <w:ilvl w:val="1"/>
          <w:numId w:val="1"/>
        </w:numPr>
      </w:pPr>
      <w:r>
        <w:rPr>
          <w:rFonts w:hint="eastAsia"/>
        </w:rPr>
        <w:t>可一键深化问题（如“请分季度展示”）。</w:t>
      </w:r>
    </w:p>
    <w:p w14:paraId="381805CC">
      <w:pPr>
        <w:numPr>
          <w:ilvl w:val="1"/>
          <w:numId w:val="1"/>
        </w:numPr>
      </w:pPr>
      <w:r>
        <w:rPr>
          <w:rFonts w:hint="eastAsia"/>
        </w:rPr>
        <w:t>如遇复杂查询，界面明确平台支持范围并给予引导。</w:t>
      </w:r>
    </w:p>
    <w:p w14:paraId="1D4A3340">
      <w:pPr>
        <w:numPr>
          <w:ilvl w:val="0"/>
          <w:numId w:val="1"/>
        </w:numPr>
      </w:pPr>
      <w:r>
        <w:rPr>
          <w:rFonts w:hint="eastAsia"/>
          <w:b/>
          <w:bCs/>
        </w:rPr>
        <w:t>步骤4：</w:t>
      </w:r>
      <w:r>
        <w:t xml:space="preserve"> </w:t>
      </w:r>
      <w:r>
        <w:rPr>
          <w:rFonts w:hint="eastAsia"/>
        </w:rPr>
        <w:t>用户可追问，如“Q2业绩为何下滑？”</w:t>
      </w:r>
    </w:p>
    <w:p w14:paraId="1361613E">
      <w:pPr>
        <w:numPr>
          <w:ilvl w:val="1"/>
          <w:numId w:val="1"/>
        </w:numPr>
      </w:pPr>
      <w:r>
        <w:rPr>
          <w:rFonts w:hint="eastAsia"/>
        </w:rPr>
        <w:t>系统结合上下文输出带有权威引用和超链接的解释说明。</w:t>
      </w:r>
    </w:p>
    <w:p w14:paraId="17CE8C9B">
      <w:pPr>
        <w:numPr>
          <w:ilvl w:val="0"/>
          <w:numId w:val="1"/>
        </w:numPr>
      </w:pPr>
      <w:r>
        <w:rPr>
          <w:rFonts w:hint="eastAsia"/>
          <w:b/>
          <w:bCs/>
        </w:rPr>
        <w:t>步骤5：</w:t>
      </w:r>
      <w:r>
        <w:t xml:space="preserve"> </w:t>
      </w:r>
      <w:r>
        <w:rPr>
          <w:rFonts w:hint="eastAsia"/>
        </w:rPr>
        <w:t>每个答案后有体验反馈（“此答案是否有帮助？”点赞/点踩）。</w:t>
      </w:r>
    </w:p>
    <w:p w14:paraId="4F9F95F0">
      <w:r>
        <w:rPr>
          <w:rFonts w:hint="eastAsia"/>
          <w:b/>
          <w:bCs/>
        </w:rPr>
        <w:t>进阶功能与特殊场景</w:t>
      </w:r>
    </w:p>
    <w:p w14:paraId="742C39D8">
      <w:pPr>
        <w:numPr>
          <w:ilvl w:val="0"/>
          <w:numId w:val="1"/>
        </w:numPr>
      </w:pPr>
      <w:r>
        <w:rPr>
          <w:rFonts w:hint="eastAsia"/>
        </w:rPr>
        <w:t>支持复杂多资产组合类查询（如“对比AMZN、NFLX与TSLA近5年营收增长”）。</w:t>
      </w:r>
    </w:p>
    <w:p w14:paraId="727DF794">
      <w:pPr>
        <w:numPr>
          <w:ilvl w:val="0"/>
          <w:numId w:val="1"/>
        </w:numPr>
      </w:pPr>
      <w:r>
        <w:rPr>
          <w:rFonts w:hint="eastAsia"/>
        </w:rPr>
        <w:t>出现数据源不可用时，系统明确提示问题并推荐相关可答查询。</w:t>
      </w:r>
    </w:p>
    <w:p w14:paraId="183C55EA">
      <w:pPr>
        <w:numPr>
          <w:ilvl w:val="0"/>
          <w:numId w:val="1"/>
        </w:numPr>
      </w:pPr>
      <w:r>
        <w:rPr>
          <w:rFonts w:hint="eastAsia"/>
        </w:rPr>
        <w:t>遇到数据覆盖盲区时给出专业免责说明，避免机械性错误提示。</w:t>
      </w:r>
    </w:p>
    <w:p w14:paraId="3DF78DEE">
      <w:r>
        <w:rPr>
          <w:rFonts w:hint="eastAsia"/>
          <w:b/>
          <w:bCs/>
        </w:rPr>
        <w:t>UI/UX亮点</w:t>
      </w:r>
    </w:p>
    <w:p w14:paraId="5EE55B4B">
      <w:pPr>
        <w:numPr>
          <w:ilvl w:val="0"/>
          <w:numId w:val="1"/>
        </w:numPr>
      </w:pPr>
      <w:r>
        <w:rPr>
          <w:rFonts w:hint="eastAsia"/>
        </w:rPr>
        <w:t>高对比度、简洁专业的布局，适用于金融从业者和大众投资者。</w:t>
      </w:r>
    </w:p>
    <w:p w14:paraId="60AC0F73">
      <w:pPr>
        <w:numPr>
          <w:ilvl w:val="0"/>
          <w:numId w:val="1"/>
        </w:numPr>
      </w:pPr>
      <w:r>
        <w:rPr>
          <w:rFonts w:hint="eastAsia"/>
        </w:rPr>
        <w:t>响应式设计，兼容移动及平板访问。</w:t>
      </w:r>
    </w:p>
    <w:p w14:paraId="678B0489">
      <w:pPr>
        <w:numPr>
          <w:ilvl w:val="0"/>
          <w:numId w:val="1"/>
        </w:numPr>
      </w:pPr>
      <w:r>
        <w:rPr>
          <w:rFonts w:hint="eastAsia"/>
        </w:rPr>
        <w:t>全输出内容支持屏幕阅读器，高适配无障碍标准。</w:t>
      </w:r>
    </w:p>
    <w:p w14:paraId="3FA46239">
      <w:pPr>
        <w:numPr>
          <w:ilvl w:val="0"/>
          <w:numId w:val="1"/>
        </w:numPr>
      </w:pPr>
      <w:r>
        <w:rPr>
          <w:rFonts w:hint="eastAsia"/>
        </w:rPr>
        <w:t>每条数据结果均有明显的来源和时间标识。</w:t>
      </w:r>
    </w:p>
    <w:p w14:paraId="6B202549">
      <w:pPr>
        <w:numPr>
          <w:ilvl w:val="0"/>
          <w:numId w:val="1"/>
        </w:numPr>
      </w:pPr>
      <w:r>
        <w:rPr>
          <w:rFonts w:hint="eastAsia"/>
        </w:rPr>
        <w:t>无广告、无杂项链接，聚焦核心问答体验。</w:t>
      </w:r>
    </w:p>
    <w:p w14:paraId="59F4F303">
      <w:r>
        <w:pict>
          <v:rect id="_x0000_i1029" o:spt="1" style="height:1.5pt;width:0pt;" coordsize="21600,21600" o:hr="t" o:hrstd="t" o:hralign="center">
            <v:path/>
            <v:fill focussize="0,0"/>
            <v:stroke/>
            <v:imagedata o:title=""/>
            <o:lock v:ext="edit"/>
            <w10:wrap type="none"/>
            <w10:anchorlock/>
          </v:rect>
        </w:pict>
      </w:r>
    </w:p>
    <w:bookmarkEnd w:id="8"/>
    <w:p w14:paraId="10230AE8">
      <w:pPr>
        <w:pStyle w:val="3"/>
      </w:pPr>
      <w:bookmarkStart w:id="9" w:name="业务叙述"/>
      <w:r>
        <w:rPr>
          <w:rFonts w:hint="eastAsia"/>
        </w:rPr>
        <w:t>业务叙述</w:t>
      </w:r>
    </w:p>
    <w:p w14:paraId="33FDE58D">
      <w:r>
        <w:rPr>
          <w:rFonts w:hint="eastAsia"/>
        </w:rPr>
        <w:t>个人投资者Jane曾为评估科技股投资，需反复在多家金融网站、公告文件间切换，苦于数据陈旧或真伪难辨。资深金融顾问David亦经常为准备客户会议，耗时整理多源数据、难以保证每处引用权威且最新。</w:t>
      </w:r>
    </w:p>
    <w:p w14:paraId="152CEB60">
      <w:r>
        <w:rPr>
          <w:rFonts w:hint="eastAsia"/>
        </w:rPr>
        <w:t>在本系统的帮助下，Jane仅需输入“NVDA去年表现与S&amp;P500对比如何？”，数秒内即可获得带有表格、权威解释及数据出处的专业答复。David也能即刻查阅债券收益率对比，信心十足地在客户会议中引用准确、时效性强的分析。</w:t>
      </w:r>
    </w:p>
    <w:p w14:paraId="7AB092CE">
      <w:r>
        <w:rPr>
          <w:rFonts w:hint="eastAsia"/>
        </w:rPr>
        <w:t>本平台极大提高了研究效率、增强了用户信心，有效消除金融行业数据割裂和信息滞后的痛点，快速积累行业信誉，成为个人及机构群体可信赖的金融数据及问答中枢。</w:t>
      </w:r>
    </w:p>
    <w:p w14:paraId="009F154E">
      <w:r>
        <w:pict>
          <v:rect id="_x0000_i1030" o:spt="1" style="height:1.5pt;width:0pt;" coordsize="21600,21600" o:hr="t" o:hrstd="t" o:hralign="center">
            <v:path/>
            <v:fill focussize="0,0"/>
            <v:stroke/>
            <v:imagedata o:title=""/>
            <o:lock v:ext="edit"/>
            <w10:wrap type="none"/>
            <w10:anchorlock/>
          </v:rect>
        </w:pict>
      </w:r>
    </w:p>
    <w:bookmarkEnd w:id="9"/>
    <w:p w14:paraId="7FE0A1C7">
      <w:pPr>
        <w:pStyle w:val="3"/>
      </w:pPr>
      <w:bookmarkStart w:id="10" w:name="成功衡量标准"/>
      <w:r>
        <w:rPr>
          <w:rFonts w:hint="eastAsia"/>
        </w:rPr>
        <w:t>成功衡量标准</w:t>
      </w:r>
    </w:p>
    <w:p w14:paraId="37E5DF02">
      <w:pPr>
        <w:numPr>
          <w:ilvl w:val="0"/>
          <w:numId w:val="1"/>
        </w:numPr>
      </w:pPr>
      <w:r>
        <w:rPr>
          <w:rFonts w:hint="eastAsia"/>
        </w:rPr>
        <w:t>日均/周均问答处理量（目标：上线三个月日均1,000条）</w:t>
      </w:r>
    </w:p>
    <w:p w14:paraId="3089ED04">
      <w:pPr>
        <w:numPr>
          <w:ilvl w:val="0"/>
          <w:numId w:val="1"/>
        </w:numPr>
      </w:pPr>
      <w:r>
        <w:rPr>
          <w:rFonts w:hint="eastAsia"/>
        </w:rPr>
        <w:t>满足准确性及数据引用标准的答复占比（目标：≥95%）</w:t>
      </w:r>
    </w:p>
    <w:p w14:paraId="6053119D">
      <w:pPr>
        <w:numPr>
          <w:ilvl w:val="0"/>
          <w:numId w:val="1"/>
        </w:numPr>
      </w:pPr>
      <w:r>
        <w:rPr>
          <w:rFonts w:hint="eastAsia"/>
        </w:rPr>
        <w:t>用户体验满意度评分（内嵌问卷；目标：≥4.5/5）</w:t>
      </w:r>
    </w:p>
    <w:p w14:paraId="2C4F779E">
      <w:pPr>
        <w:numPr>
          <w:ilvl w:val="0"/>
          <w:numId w:val="1"/>
        </w:numPr>
      </w:pPr>
      <w:r>
        <w:rPr>
          <w:rFonts w:hint="eastAsia"/>
        </w:rPr>
        <w:t>新用户复用转化率（首次访问后一周内复访率达30%）</w:t>
      </w:r>
    </w:p>
    <w:p w14:paraId="7F0991D3">
      <w:pPr>
        <w:numPr>
          <w:ilvl w:val="0"/>
          <w:numId w:val="1"/>
        </w:numPr>
      </w:pPr>
      <w:r>
        <w:rPr>
          <w:rFonts w:hint="eastAsia"/>
        </w:rPr>
        <w:t>系统可用性及平均响应耗时（目标：99%以上在线率，3秒以下中位响应时间）</w:t>
      </w:r>
    </w:p>
    <w:p w14:paraId="2D0A237C">
      <w:pPr>
        <w:numPr>
          <w:ilvl w:val="0"/>
          <w:numId w:val="1"/>
        </w:numPr>
      </w:pPr>
      <w:r>
        <w:rPr>
          <w:rFonts w:hint="eastAsia"/>
        </w:rPr>
        <w:t>常用金融顾问/投资用户数（基于匿名会话Token统计）</w:t>
      </w:r>
    </w:p>
    <w:p w14:paraId="20871059">
      <w:pPr>
        <w:pStyle w:val="4"/>
      </w:pPr>
      <w:bookmarkStart w:id="11" w:name="用户相关指标"/>
      <w:r>
        <w:rPr>
          <w:rFonts w:hint="eastAsia"/>
        </w:rPr>
        <w:t>用户相关指标</w:t>
      </w:r>
    </w:p>
    <w:p w14:paraId="07B712BA">
      <w:pPr>
        <w:numPr>
          <w:ilvl w:val="0"/>
          <w:numId w:val="1"/>
        </w:numPr>
      </w:pPr>
      <w:r>
        <w:rPr>
          <w:rFonts w:hint="eastAsia"/>
        </w:rPr>
        <w:t>每日活跃用户量</w:t>
      </w:r>
    </w:p>
    <w:p w14:paraId="33A01153">
      <w:pPr>
        <w:numPr>
          <w:ilvl w:val="0"/>
          <w:numId w:val="1"/>
        </w:numPr>
      </w:pPr>
      <w:r>
        <w:rPr>
          <w:rFonts w:hint="eastAsia"/>
        </w:rPr>
        <w:t>用户平均单次访问查询数</w:t>
      </w:r>
    </w:p>
    <w:p w14:paraId="2017914F">
      <w:pPr>
        <w:numPr>
          <w:ilvl w:val="0"/>
          <w:numId w:val="1"/>
        </w:numPr>
      </w:pPr>
      <w:r>
        <w:rPr>
          <w:rFonts w:hint="eastAsia"/>
        </w:rPr>
        <w:t>答案有帮助反馈占比</w:t>
      </w:r>
    </w:p>
    <w:bookmarkEnd w:id="11"/>
    <w:p w14:paraId="62D8B8D2">
      <w:pPr>
        <w:pStyle w:val="4"/>
      </w:pPr>
      <w:bookmarkStart w:id="12" w:name="业务相关指标"/>
      <w:r>
        <w:rPr>
          <w:rFonts w:hint="eastAsia"/>
        </w:rPr>
        <w:t>业务相关指标</w:t>
      </w:r>
    </w:p>
    <w:p w14:paraId="59394F27">
      <w:pPr>
        <w:numPr>
          <w:ilvl w:val="0"/>
          <w:numId w:val="1"/>
        </w:numPr>
      </w:pPr>
      <w:r>
        <w:rPr>
          <w:rFonts w:hint="eastAsia"/>
        </w:rPr>
        <w:t>合作机构引入量</w:t>
      </w:r>
    </w:p>
    <w:p w14:paraId="6FD45AE3">
      <w:pPr>
        <w:numPr>
          <w:ilvl w:val="0"/>
          <w:numId w:val="1"/>
        </w:numPr>
      </w:pPr>
      <w:r>
        <w:rPr>
          <w:rFonts w:hint="eastAsia"/>
        </w:rPr>
        <w:t>顾问渠道推荐率</w:t>
      </w:r>
    </w:p>
    <w:p w14:paraId="47D2DB4C">
      <w:pPr>
        <w:numPr>
          <w:ilvl w:val="0"/>
          <w:numId w:val="1"/>
        </w:numPr>
      </w:pPr>
      <w:r>
        <w:rPr>
          <w:rFonts w:hint="eastAsia"/>
        </w:rPr>
        <w:t>与数据质量相关的支持工单减少量</w:t>
      </w:r>
    </w:p>
    <w:bookmarkEnd w:id="12"/>
    <w:p w14:paraId="338EA4C7">
      <w:pPr>
        <w:pStyle w:val="4"/>
      </w:pPr>
      <w:bookmarkStart w:id="13" w:name="技术相关指标"/>
      <w:r>
        <w:rPr>
          <w:rFonts w:hint="eastAsia"/>
        </w:rPr>
        <w:t>技术相关指标</w:t>
      </w:r>
    </w:p>
    <w:p w14:paraId="734DB476">
      <w:pPr>
        <w:numPr>
          <w:ilvl w:val="0"/>
          <w:numId w:val="1"/>
        </w:numPr>
      </w:pPr>
      <w:r>
        <w:rPr>
          <w:rFonts w:hint="eastAsia"/>
        </w:rPr>
        <w:t>系统在线率与延迟统计</w:t>
      </w:r>
    </w:p>
    <w:p w14:paraId="66156BB7">
      <w:pPr>
        <w:numPr>
          <w:ilvl w:val="0"/>
          <w:numId w:val="1"/>
        </w:numPr>
      </w:pPr>
      <w:r>
        <w:rPr>
          <w:rFonts w:hint="eastAsia"/>
        </w:rPr>
        <w:t>响应错误/失败率（目标：小于0.1%）</w:t>
      </w:r>
    </w:p>
    <w:p w14:paraId="4B2DB83B">
      <w:pPr>
        <w:numPr>
          <w:ilvl w:val="0"/>
          <w:numId w:val="1"/>
        </w:numPr>
      </w:pPr>
      <w:r>
        <w:rPr>
          <w:rFonts w:hint="eastAsia"/>
        </w:rPr>
        <w:t>数据源/API自动切换触发次数</w:t>
      </w:r>
    </w:p>
    <w:bookmarkEnd w:id="13"/>
    <w:p w14:paraId="399A598D">
      <w:pPr>
        <w:pStyle w:val="4"/>
      </w:pPr>
      <w:bookmarkStart w:id="14" w:name="埋点及跟踪计划"/>
      <w:r>
        <w:rPr>
          <w:rFonts w:hint="eastAsia"/>
        </w:rPr>
        <w:t>埋点及跟踪计划</w:t>
      </w:r>
    </w:p>
    <w:p w14:paraId="3E5E0577">
      <w:pPr>
        <w:numPr>
          <w:ilvl w:val="0"/>
          <w:numId w:val="1"/>
        </w:numPr>
      </w:pPr>
      <w:r>
        <w:rPr>
          <w:rFonts w:hint="eastAsia"/>
        </w:rPr>
        <w:t>每条自然语言查询事件跟踪</w:t>
      </w:r>
    </w:p>
    <w:p w14:paraId="5FB193C6">
      <w:pPr>
        <w:numPr>
          <w:ilvl w:val="0"/>
          <w:numId w:val="1"/>
        </w:numPr>
      </w:pPr>
      <w:r>
        <w:rPr>
          <w:rFonts w:hint="eastAsia"/>
        </w:rPr>
        <w:t>每次API调用成功/失败日志</w:t>
      </w:r>
    </w:p>
    <w:p w14:paraId="01083932">
      <w:pPr>
        <w:numPr>
          <w:ilvl w:val="0"/>
          <w:numId w:val="1"/>
        </w:numPr>
      </w:pPr>
      <w:r>
        <w:rPr>
          <w:rFonts w:hint="eastAsia"/>
        </w:rPr>
        <w:t>答案反馈采集（点赞/点踩）</w:t>
      </w:r>
    </w:p>
    <w:p w14:paraId="20E009C0">
      <w:pPr>
        <w:numPr>
          <w:ilvl w:val="0"/>
          <w:numId w:val="1"/>
        </w:numPr>
      </w:pPr>
      <w:r>
        <w:rPr>
          <w:rFonts w:hint="eastAsia"/>
        </w:rPr>
        <w:t>单次询问至反馈的耗时统计</w:t>
      </w:r>
    </w:p>
    <w:p w14:paraId="71DD0B1D">
      <w:pPr>
        <w:numPr>
          <w:ilvl w:val="0"/>
          <w:numId w:val="1"/>
        </w:numPr>
      </w:pPr>
      <w:r>
        <w:rPr>
          <w:rFonts w:hint="eastAsia"/>
        </w:rPr>
        <w:t>UI互动数据（如来源跳转、查询细化按钮点击）</w:t>
      </w:r>
    </w:p>
    <w:p w14:paraId="282A947A">
      <w:r>
        <w:pict>
          <v:rect id="_x0000_i1031" o:spt="1" style="height:1.5pt;width:0pt;" coordsize="21600,21600" o:hr="t" o:hrstd="t" o:hralign="center">
            <v:path/>
            <v:fill focussize="0,0"/>
            <v:stroke/>
            <v:imagedata o:title=""/>
            <o:lock v:ext="edit"/>
            <w10:wrap type="none"/>
            <w10:anchorlock/>
          </v:rect>
        </w:pict>
      </w:r>
    </w:p>
    <w:bookmarkEnd w:id="10"/>
    <w:bookmarkEnd w:id="14"/>
    <w:p w14:paraId="2AB4D889">
      <w:pPr>
        <w:pStyle w:val="3"/>
      </w:pPr>
      <w:bookmarkStart w:id="15" w:name="技术实现要点"/>
      <w:r>
        <w:rPr>
          <w:rFonts w:hint="eastAsia"/>
        </w:rPr>
        <w:t>技术实现要点</w:t>
      </w:r>
    </w:p>
    <w:p w14:paraId="19021AB5">
      <w:pPr>
        <w:pStyle w:val="4"/>
      </w:pPr>
      <w:bookmarkStart w:id="16" w:name="技术需求"/>
      <w:r>
        <w:rPr>
          <w:rFonts w:hint="eastAsia"/>
        </w:rPr>
        <w:t>技术需求</w:t>
      </w:r>
    </w:p>
    <w:p w14:paraId="21BF86F7">
      <w:pPr>
        <w:numPr>
          <w:ilvl w:val="0"/>
          <w:numId w:val="1"/>
        </w:numPr>
      </w:pPr>
      <w:r>
        <w:rPr>
          <w:rFonts w:hint="eastAsia"/>
          <w:b/>
          <w:bCs/>
        </w:rPr>
        <w:t>前端：</w:t>
      </w:r>
      <w:r>
        <w:t xml:space="preserve"> </w:t>
      </w:r>
      <w:r>
        <w:rPr>
          <w:rFonts w:hint="eastAsia"/>
        </w:rPr>
        <w:t>轻量、响应式网页端，全面适配无障碍要求与结构化数据呈现。</w:t>
      </w:r>
    </w:p>
    <w:p w14:paraId="068FBE1A">
      <w:pPr>
        <w:numPr>
          <w:ilvl w:val="0"/>
          <w:numId w:val="1"/>
        </w:numPr>
      </w:pPr>
      <w:r>
        <w:rPr>
          <w:rFonts w:hint="eastAsia"/>
          <w:b/>
          <w:bCs/>
        </w:rPr>
        <w:t>后端：</w:t>
      </w:r>
      <w:r>
        <w:t xml:space="preserve"> </w:t>
      </w:r>
      <w:r>
        <w:rPr>
          <w:rFonts w:hint="eastAsia"/>
        </w:rPr>
        <w:t>提供统一编排服务，实现问题接收、查找路由或RAG调度、结果格式化及数据提供方抽象。</w:t>
      </w:r>
    </w:p>
    <w:p w14:paraId="43311823">
      <w:pPr>
        <w:numPr>
          <w:ilvl w:val="0"/>
          <w:numId w:val="1"/>
        </w:numPr>
      </w:pPr>
      <w:r>
        <w:rPr>
          <w:rFonts w:hint="eastAsia"/>
          <w:b/>
          <w:bCs/>
        </w:rPr>
        <w:t>LLM/RAG流程：</w:t>
      </w:r>
      <w:r>
        <w:t xml:space="preserve"> </w:t>
      </w:r>
      <w:r>
        <w:rPr>
          <w:rFonts w:hint="eastAsia"/>
        </w:rPr>
        <w:t>结合索引化金融公告、报告与API动态数据，实现高质量检索增强生成。</w:t>
      </w:r>
    </w:p>
    <w:p w14:paraId="2583DB44">
      <w:pPr>
        <w:numPr>
          <w:ilvl w:val="0"/>
          <w:numId w:val="1"/>
        </w:numPr>
      </w:pPr>
      <w:r>
        <w:rPr>
          <w:rFonts w:hint="eastAsia"/>
          <w:b/>
          <w:bCs/>
        </w:rPr>
        <w:t>API接入模块：</w:t>
      </w:r>
      <w:r>
        <w:t xml:space="preserve"> </w:t>
      </w:r>
      <w:r>
        <w:rPr>
          <w:rFonts w:hint="eastAsia"/>
        </w:rPr>
        <w:t>插件化市场数据接入，支持无缝切换与横向扩展。</w:t>
      </w:r>
    </w:p>
    <w:p w14:paraId="40251CF0">
      <w:pPr>
        <w:numPr>
          <w:ilvl w:val="0"/>
          <w:numId w:val="1"/>
        </w:numPr>
      </w:pPr>
      <w:r>
        <w:rPr>
          <w:rFonts w:hint="eastAsia"/>
          <w:b/>
          <w:bCs/>
        </w:rPr>
        <w:t>数据格式化：</w:t>
      </w:r>
      <w:r>
        <w:t xml:space="preserve"> </w:t>
      </w:r>
      <w:r>
        <w:rPr>
          <w:rFonts w:hint="eastAsia"/>
        </w:rPr>
        <w:t>统一结果结构（表格、图表、要点）输出模板。</w:t>
      </w:r>
    </w:p>
    <w:bookmarkEnd w:id="16"/>
    <w:p w14:paraId="1E92CCDC">
      <w:pPr>
        <w:pStyle w:val="4"/>
      </w:pPr>
      <w:bookmarkStart w:id="17" w:name="外部集成接口"/>
      <w:r>
        <w:rPr>
          <w:rFonts w:hint="eastAsia"/>
        </w:rPr>
        <w:t>外部集成接口</w:t>
      </w:r>
    </w:p>
    <w:p w14:paraId="382AA170">
      <w:pPr>
        <w:numPr>
          <w:ilvl w:val="0"/>
          <w:numId w:val="1"/>
        </w:numPr>
      </w:pPr>
      <w:r>
        <w:rPr>
          <w:rFonts w:hint="eastAsia"/>
        </w:rPr>
        <w:t>接入不少于2个成熟金融数据API（覆盖行情、指标及公司基本面）。</w:t>
      </w:r>
    </w:p>
    <w:p w14:paraId="2240FCFB">
      <w:pPr>
        <w:numPr>
          <w:ilvl w:val="0"/>
          <w:numId w:val="1"/>
        </w:numPr>
      </w:pPr>
      <w:r>
        <w:rPr>
          <w:rFonts w:hint="eastAsia"/>
        </w:rPr>
        <w:t>后续可预留合作顾问平台、单点登录等对接能力（MVP暂不实现）。</w:t>
      </w:r>
    </w:p>
    <w:bookmarkEnd w:id="17"/>
    <w:p w14:paraId="296D9BE1">
      <w:pPr>
        <w:pStyle w:val="4"/>
      </w:pPr>
      <w:bookmarkStart w:id="18" w:name="数据存储与隐私"/>
      <w:r>
        <w:rPr>
          <w:rFonts w:hint="eastAsia"/>
        </w:rPr>
        <w:t>数据存储与隐私</w:t>
      </w:r>
    </w:p>
    <w:p w14:paraId="7BE76279">
      <w:pPr>
        <w:numPr>
          <w:ilvl w:val="0"/>
          <w:numId w:val="1"/>
        </w:numPr>
      </w:pPr>
      <w:r>
        <w:rPr>
          <w:rFonts w:hint="eastAsia"/>
        </w:rPr>
        <w:t>仅保存匿名化、无个人信息的使用日志用于质量控制和统计分析。</w:t>
      </w:r>
    </w:p>
    <w:p w14:paraId="6A4AB22B">
      <w:pPr>
        <w:numPr>
          <w:ilvl w:val="0"/>
          <w:numId w:val="1"/>
        </w:numPr>
      </w:pPr>
      <w:r>
        <w:rPr>
          <w:rFonts w:hint="eastAsia"/>
        </w:rPr>
        <w:t>MVP阶段不存储任何金融交易或用户敏感信息，确保符合合规与最佳实践。</w:t>
      </w:r>
    </w:p>
    <w:p w14:paraId="465D1677">
      <w:pPr>
        <w:numPr>
          <w:ilvl w:val="0"/>
          <w:numId w:val="1"/>
        </w:numPr>
      </w:pPr>
      <w:r>
        <w:rPr>
          <w:rFonts w:hint="eastAsia"/>
        </w:rPr>
        <w:t>所有检索或引用的数据仅作临时用途，静态持久化仅限RAG必要索引，支持GDPR或本地法规要求。</w:t>
      </w:r>
    </w:p>
    <w:bookmarkEnd w:id="18"/>
    <w:p w14:paraId="2733AA47">
      <w:pPr>
        <w:pStyle w:val="4"/>
      </w:pPr>
      <w:bookmarkStart w:id="19" w:name="可扩展性与性能"/>
      <w:r>
        <w:rPr>
          <w:rFonts w:hint="eastAsia"/>
        </w:rPr>
        <w:t>可扩展性与性能</w:t>
      </w:r>
    </w:p>
    <w:p w14:paraId="6048B74E">
      <w:pPr>
        <w:numPr>
          <w:ilvl w:val="0"/>
          <w:numId w:val="1"/>
        </w:numPr>
      </w:pPr>
      <w:r>
        <w:rPr>
          <w:rFonts w:hint="eastAsia"/>
        </w:rPr>
        <w:t>满足日均1万条查询下无性能瓶颈。</w:t>
      </w:r>
    </w:p>
    <w:p w14:paraId="3E684741">
      <w:pPr>
        <w:numPr>
          <w:ilvl w:val="0"/>
          <w:numId w:val="1"/>
        </w:numPr>
      </w:pPr>
      <w:r>
        <w:rPr>
          <w:rFonts w:hint="eastAsia"/>
        </w:rPr>
        <w:t>支持数据源故障时自动切换，服务不中断。</w:t>
      </w:r>
    </w:p>
    <w:p w14:paraId="6123769B">
      <w:pPr>
        <w:numPr>
          <w:ilvl w:val="0"/>
          <w:numId w:val="1"/>
        </w:numPr>
      </w:pPr>
      <w:r>
        <w:rPr>
          <w:rFonts w:hint="eastAsia"/>
        </w:rPr>
        <w:t>RAG推理及API层横向弹性扩展。</w:t>
      </w:r>
    </w:p>
    <w:bookmarkEnd w:id="19"/>
    <w:p w14:paraId="1F428AF7">
      <w:pPr>
        <w:pStyle w:val="4"/>
      </w:pPr>
      <w:bookmarkStart w:id="20" w:name="风险与挑战"/>
      <w:r>
        <w:rPr>
          <w:rFonts w:hint="eastAsia"/>
        </w:rPr>
        <w:t>风险与挑战</w:t>
      </w:r>
    </w:p>
    <w:p w14:paraId="09E48BE0">
      <w:pPr>
        <w:numPr>
          <w:ilvl w:val="0"/>
          <w:numId w:val="1"/>
        </w:numPr>
      </w:pPr>
      <w:r>
        <w:rPr>
          <w:rFonts w:hint="eastAsia"/>
        </w:rPr>
        <w:t>保证全部数据持续权威、实时，避免因供应商延迟导致数据过期。</w:t>
      </w:r>
    </w:p>
    <w:p w14:paraId="2CDE7ACD">
      <w:pPr>
        <w:numPr>
          <w:ilvl w:val="0"/>
          <w:numId w:val="1"/>
        </w:numPr>
      </w:pPr>
      <w:r>
        <w:rPr>
          <w:rFonts w:hint="eastAsia"/>
        </w:rPr>
        <w:t>针对RAG流程，持续管理和审核模型输出，防止幻觉或引发无依据内容。</w:t>
      </w:r>
    </w:p>
    <w:p w14:paraId="705FA807">
      <w:pPr>
        <w:numPr>
          <w:ilvl w:val="0"/>
          <w:numId w:val="1"/>
        </w:numPr>
      </w:pPr>
      <w:r>
        <w:rPr>
          <w:rFonts w:hint="eastAsia"/>
        </w:rPr>
        <w:t>多源数据耦合情况下，确保响应速度和一致性。</w:t>
      </w:r>
    </w:p>
    <w:p w14:paraId="1E9FC702">
      <w:pPr>
        <w:numPr>
          <w:ilvl w:val="0"/>
          <w:numId w:val="1"/>
        </w:numPr>
      </w:pPr>
      <w:r>
        <w:rPr>
          <w:rFonts w:hint="eastAsia"/>
        </w:rPr>
        <w:t>API密钥与数据传输安全加固。</w:t>
      </w:r>
    </w:p>
    <w:p w14:paraId="063E6B6B">
      <w:r>
        <w:pict>
          <v:rect id="_x0000_i1032" o:spt="1" style="height:1.5pt;width:0pt;" coordsize="21600,21600" o:hr="t" o:hrstd="t" o:hralign="center">
            <v:path/>
            <v:fill focussize="0,0"/>
            <v:stroke/>
            <v:imagedata o:title=""/>
            <o:lock v:ext="edit"/>
            <w10:wrap type="none"/>
            <w10:anchorlock/>
          </v:rect>
        </w:pict>
      </w:r>
    </w:p>
    <w:bookmarkEnd w:id="15"/>
    <w:bookmarkEnd w:id="20"/>
    <w:p w14:paraId="71D0E09B">
      <w:pPr>
        <w:pStyle w:val="3"/>
      </w:pPr>
      <w:bookmarkStart w:id="21" w:name="里程碑与计划排期"/>
      <w:r>
        <w:rPr>
          <w:rFonts w:hint="eastAsia"/>
        </w:rPr>
        <w:t>里程碑与计划排期</w:t>
      </w:r>
    </w:p>
    <w:p w14:paraId="4D0BE632">
      <w:pPr>
        <w:pStyle w:val="4"/>
      </w:pPr>
      <w:bookmarkStart w:id="22" w:name="项目整体周期预估"/>
      <w:r>
        <w:rPr>
          <w:rFonts w:hint="eastAsia"/>
        </w:rPr>
        <w:t>项目整体周期预估</w:t>
      </w:r>
    </w:p>
    <w:p w14:paraId="6F353634">
      <w:pPr>
        <w:numPr>
          <w:ilvl w:val="0"/>
          <w:numId w:val="1"/>
        </w:numPr>
      </w:pPr>
      <w:r>
        <w:rPr>
          <w:rFonts w:hint="eastAsia"/>
        </w:rPr>
        <w:t>小团队快速开发：MVP预计1–2周交付核心功能</w:t>
      </w:r>
    </w:p>
    <w:bookmarkEnd w:id="22"/>
    <w:p w14:paraId="03840E05">
      <w:pPr>
        <w:pStyle w:val="4"/>
      </w:pPr>
      <w:bookmarkStart w:id="23" w:name="团队组成"/>
      <w:r>
        <w:rPr>
          <w:rFonts w:hint="eastAsia"/>
        </w:rPr>
        <w:t>团队组成</w:t>
      </w:r>
    </w:p>
    <w:p w14:paraId="2659933B">
      <w:pPr>
        <w:numPr>
          <w:ilvl w:val="0"/>
          <w:numId w:val="1"/>
        </w:numPr>
      </w:pPr>
      <w:r>
        <w:rPr>
          <w:rFonts w:hint="eastAsia"/>
        </w:rPr>
        <w:t>精简团队（1–2人）</w:t>
      </w:r>
    </w:p>
    <w:p w14:paraId="52DABCDE">
      <w:pPr>
        <w:numPr>
          <w:ilvl w:val="1"/>
          <w:numId w:val="1"/>
        </w:numPr>
      </w:pPr>
      <w:r>
        <w:rPr>
          <w:rFonts w:hint="eastAsia"/>
        </w:rPr>
        <w:t>产品/项目负责人（1人）：兼顾QA、文档</w:t>
      </w:r>
    </w:p>
    <w:p w14:paraId="6D25FB29">
      <w:pPr>
        <w:numPr>
          <w:ilvl w:val="1"/>
          <w:numId w:val="1"/>
        </w:numPr>
      </w:pPr>
      <w:r>
        <w:rPr>
          <w:rFonts w:hint="eastAsia"/>
        </w:rPr>
        <w:t>工程师（1人）：涵盖后端、RAG数据流及简易前端</w:t>
      </w:r>
    </w:p>
    <w:bookmarkEnd w:id="23"/>
    <w:p w14:paraId="7F32ECC0">
      <w:pPr>
        <w:pStyle w:val="4"/>
      </w:pPr>
      <w:bookmarkStart w:id="24" w:name="里程碑阶段划分"/>
      <w:r>
        <w:rPr>
          <w:rFonts w:hint="eastAsia"/>
        </w:rPr>
        <w:t>里程碑阶段划分</w:t>
      </w:r>
    </w:p>
    <w:p w14:paraId="7DB0183F">
      <w:r>
        <w:rPr>
          <w:b/>
          <w:bCs/>
        </w:rPr>
        <w:t xml:space="preserve">1. </w:t>
      </w:r>
      <w:r>
        <w:rPr>
          <w:rFonts w:hint="eastAsia"/>
          <w:b/>
          <w:bCs/>
        </w:rPr>
        <w:t>规划与数据API接入（2–3天）</w:t>
      </w:r>
    </w:p>
    <w:p w14:paraId="3EAFFDF7">
      <w:pPr>
        <w:numPr>
          <w:ilvl w:val="0"/>
          <w:numId w:val="1"/>
        </w:numPr>
      </w:pPr>
      <w:r>
        <w:rPr>
          <w:rFonts w:hint="eastAsia"/>
        </w:rPr>
        <w:t>交付目标：工程师完成两套数据API选型、接入，以及数据校验体系初步落地。</w:t>
      </w:r>
    </w:p>
    <w:p w14:paraId="72348018">
      <w:pPr>
        <w:numPr>
          <w:ilvl w:val="0"/>
          <w:numId w:val="1"/>
        </w:numPr>
      </w:pPr>
      <w:r>
        <w:rPr>
          <w:rFonts w:hint="eastAsia"/>
        </w:rPr>
        <w:t>依赖条件：获取金融数据API访问权限。</w:t>
      </w:r>
    </w:p>
    <w:p w14:paraId="0DCD4166">
      <w:r>
        <w:rPr>
          <w:b/>
          <w:bCs/>
        </w:rPr>
        <w:t xml:space="preserve">2. </w:t>
      </w:r>
      <w:r>
        <w:rPr>
          <w:rFonts w:hint="eastAsia"/>
          <w:b/>
          <w:bCs/>
        </w:rPr>
        <w:t>核心后端与RAG系统建设（3–4天）</w:t>
      </w:r>
    </w:p>
    <w:p w14:paraId="7C2FA061">
      <w:pPr>
        <w:numPr>
          <w:ilvl w:val="0"/>
          <w:numId w:val="1"/>
        </w:numPr>
      </w:pPr>
      <w:r>
        <w:rPr>
          <w:rFonts w:hint="eastAsia"/>
        </w:rPr>
        <w:t>交付目标：工程师完成查询路由、RAG模型搭建、引用输出与异常处理模块。</w:t>
      </w:r>
    </w:p>
    <w:p w14:paraId="583AD9B1">
      <w:pPr>
        <w:numPr>
          <w:ilvl w:val="0"/>
          <w:numId w:val="1"/>
        </w:numPr>
      </w:pPr>
      <w:r>
        <w:rPr>
          <w:rFonts w:hint="eastAsia"/>
        </w:rPr>
        <w:t>依赖条件：API可用，RAG语料及数据源定稿。</w:t>
      </w:r>
    </w:p>
    <w:p w14:paraId="6AD9D238">
      <w:r>
        <w:rPr>
          <w:b/>
          <w:bCs/>
        </w:rPr>
        <w:t xml:space="preserve">3. </w:t>
      </w:r>
      <w:r>
        <w:rPr>
          <w:rFonts w:hint="eastAsia"/>
          <w:b/>
          <w:bCs/>
        </w:rPr>
        <w:t>简易前端与用户流程实现（3天）</w:t>
      </w:r>
    </w:p>
    <w:p w14:paraId="0294AA2A">
      <w:pPr>
        <w:numPr>
          <w:ilvl w:val="0"/>
          <w:numId w:val="1"/>
        </w:numPr>
      </w:pPr>
      <w:r>
        <w:rPr>
          <w:rFonts w:hint="eastAsia"/>
        </w:rPr>
        <w:t>交付目标：工程师完成Web交互界面，核心问答及反馈流程打造。</w:t>
      </w:r>
    </w:p>
    <w:p w14:paraId="10C04001">
      <w:pPr>
        <w:numPr>
          <w:ilvl w:val="0"/>
          <w:numId w:val="1"/>
        </w:numPr>
      </w:pPr>
      <w:r>
        <w:rPr>
          <w:rFonts w:hint="eastAsia"/>
        </w:rPr>
        <w:t>依赖条件：后端相关接口部署完毕。</w:t>
      </w:r>
    </w:p>
    <w:p w14:paraId="55FDF10E">
      <w:r>
        <w:rPr>
          <w:b/>
          <w:bCs/>
        </w:rPr>
        <w:t xml:space="preserve">4. </w:t>
      </w:r>
      <w:r>
        <w:rPr>
          <w:rFonts w:hint="eastAsia"/>
          <w:b/>
          <w:bCs/>
        </w:rPr>
        <w:t>QA、测试与体验优化（1–2天）</w:t>
      </w:r>
    </w:p>
    <w:p w14:paraId="2A7F0DF6">
      <w:pPr>
        <w:numPr>
          <w:ilvl w:val="0"/>
          <w:numId w:val="1"/>
        </w:numPr>
      </w:pPr>
      <w:r>
        <w:rPr>
          <w:rFonts w:hint="eastAsia"/>
        </w:rPr>
        <w:t>交付目标：产品/QA完成数据准确性、边界用例覆盖、无障碍及专业呈现核查。</w:t>
      </w:r>
    </w:p>
    <w:p w14:paraId="102F03D9">
      <w:pPr>
        <w:numPr>
          <w:ilvl w:val="0"/>
          <w:numId w:val="1"/>
        </w:numPr>
      </w:pPr>
      <w:r>
        <w:rPr>
          <w:rFonts w:hint="eastAsia"/>
        </w:rPr>
        <w:t>依赖条件：功能完整的预上线环境。</w:t>
      </w:r>
    </w:p>
    <w:p w14:paraId="549502E3">
      <w:r>
        <w:rPr>
          <w:b/>
          <w:bCs/>
        </w:rPr>
        <w:t xml:space="preserve">5. </w:t>
      </w:r>
      <w:r>
        <w:rPr>
          <w:rFonts w:hint="eastAsia"/>
          <w:b/>
          <w:bCs/>
        </w:rPr>
        <w:t>上线与监控（持续进行）</w:t>
      </w:r>
    </w:p>
    <w:p w14:paraId="318CFFF0">
      <w:pPr>
        <w:numPr>
          <w:ilvl w:val="0"/>
          <w:numId w:val="1"/>
        </w:numPr>
      </w:pPr>
      <w:r>
        <w:rPr>
          <w:rFonts w:hint="eastAsia"/>
        </w:rPr>
        <w:t>交付目标：产品负责人持续进行真实用户测试、数据收集与轻量体验优化。</w:t>
      </w:r>
    </w:p>
    <w:p w14:paraId="1A75D2CD">
      <w:pPr>
        <w:numPr>
          <w:ilvl w:val="0"/>
          <w:numId w:val="1"/>
        </w:numPr>
      </w:pPr>
      <w:r>
        <w:rPr>
          <w:rFonts w:hint="eastAsia"/>
        </w:rPr>
        <w:t>依赖条件：切换至正式环境并开放用户访问。</w:t>
      </w:r>
    </w:p>
    <w:p w14:paraId="42884581">
      <w:r>
        <w:pict>
          <v:rect id="_x0000_i1033" o:spt="1" style="height:1.5pt;width:0pt;" coordsize="21600,21600" o:hr="t" o:hrstd="t" o:hralign="center">
            <v:path/>
            <v:fill focussize="0,0"/>
            <v:stroke/>
            <v:imagedata o:title=""/>
            <o:lock v:ext="edit"/>
            <w10:wrap type="none"/>
            <w10:anchorlock/>
          </v:rect>
        </w:pict>
      </w:r>
    </w:p>
    <w:bookmarkEnd w:id="0"/>
    <w:bookmarkEnd w:id="21"/>
    <w:bookmarkEnd w:id="24"/>
    <w:sectPr>
      <w:pgSz w:w="11906" w:h="16838"/>
      <w:pgMar w:top="1440" w:right="1440" w:bottom="1440" w:left="1440"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Print"/>
    <w:panose1 w:val="020B0004020202020204"/>
    <w:charset w:val="00"/>
    <w:family w:val="swiss"/>
    <w:pitch w:val="default"/>
    <w:sig w:usb0="00000000" w:usb1="00000000" w:usb2="00000000" w:usb3="00000000" w:csb0="0000019F" w:csb1="00000000"/>
  </w:font>
  <w:font w:name="Aptos Light">
    <w:altName w:val="Segoe Print"/>
    <w:panose1 w:val="020B0004020202020204"/>
    <w:charset w:val="00"/>
    <w:family w:val="swiss"/>
    <w:pitch w:val="default"/>
    <w:sig w:usb0="00000000" w:usb1="00000000" w:usb2="00000000" w:usb3="00000000" w:csb0="0000019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embedSystemFonts/>
  <w:doNotTrackMoves/>
  <w:documentProtection w:enforcement="0"/>
  <w:defaultTabStop w:val="708"/>
  <w:hyphenationZone w:val="425"/>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0B06"/>
    <w:rsid w:val="00103F03"/>
    <w:rsid w:val="00213E03"/>
    <w:rsid w:val="002F0B06"/>
    <w:rsid w:val="00BB5165"/>
    <w:rsid w:val="00C22350"/>
    <w:rsid w:val="00C848BE"/>
    <w:rsid w:val="00E452CF"/>
    <w:rsid w:val="36267C0D"/>
  </w:rsids>
  <m:mathPr>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qFormat="1" w:unhideWhenUsed="0" w:uiPriority="0" w:semiHidden="0" w:name="Quote"/>
    <w:lsdException w:qFormat="1" w:unhideWhenUsed="0" w:uiPriority="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ptos" w:hAnsi="Aptos" w:eastAsia="Aptos" w:cs="Aptos"/>
      <w:sz w:val="22"/>
      <w:szCs w:val="22"/>
      <w:lang w:val="es-ES" w:bidi="ar-SA"/>
    </w:rPr>
  </w:style>
  <w:style w:type="paragraph" w:styleId="2">
    <w:name w:val="heading 1"/>
    <w:basedOn w:val="1"/>
    <w:next w:val="1"/>
    <w:qFormat/>
    <w:uiPriority w:val="9"/>
    <w:pPr>
      <w:spacing w:before="240" w:after="120"/>
      <w:outlineLvl w:val="0"/>
    </w:pPr>
    <w:rPr>
      <w:rFonts w:ascii="Aptos Light" w:hAnsi="Aptos Light" w:eastAsia="Aptos Light" w:cs="Aptos Light"/>
      <w:b/>
      <w:bCs/>
      <w:color w:val="2E74B5"/>
      <w:sz w:val="32"/>
      <w:szCs w:val="32"/>
    </w:rPr>
  </w:style>
  <w:style w:type="paragraph" w:styleId="3">
    <w:name w:val="heading 2"/>
    <w:basedOn w:val="1"/>
    <w:next w:val="1"/>
    <w:unhideWhenUsed/>
    <w:qFormat/>
    <w:uiPriority w:val="9"/>
    <w:pPr>
      <w:spacing w:before="240" w:after="120"/>
      <w:outlineLvl w:val="1"/>
    </w:pPr>
    <w:rPr>
      <w:rFonts w:ascii="Aptos Light" w:hAnsi="Aptos Light" w:eastAsia="Aptos Light" w:cs="Aptos Light"/>
      <w:b/>
      <w:bCs/>
      <w:color w:val="2E74B5"/>
      <w:sz w:val="28"/>
      <w:szCs w:val="28"/>
    </w:rPr>
  </w:style>
  <w:style w:type="paragraph" w:styleId="4">
    <w:name w:val="heading 3"/>
    <w:basedOn w:val="1"/>
    <w:next w:val="1"/>
    <w:unhideWhenUsed/>
    <w:qFormat/>
    <w:uiPriority w:val="9"/>
    <w:pPr>
      <w:spacing w:before="240" w:after="120"/>
      <w:outlineLvl w:val="2"/>
    </w:pPr>
    <w:rPr>
      <w:b/>
      <w:bCs/>
      <w:color w:val="2E74B5"/>
      <w:sz w:val="26"/>
      <w:szCs w:val="26"/>
    </w:rPr>
  </w:style>
  <w:style w:type="paragraph" w:styleId="5">
    <w:name w:val="heading 4"/>
    <w:basedOn w:val="1"/>
    <w:next w:val="1"/>
    <w:semiHidden/>
    <w:unhideWhenUsed/>
    <w:qFormat/>
    <w:uiPriority w:val="9"/>
    <w:pPr>
      <w:spacing w:before="240" w:after="120"/>
      <w:outlineLvl w:val="3"/>
    </w:pPr>
    <w:rPr>
      <w:b/>
      <w:bCs/>
      <w:color w:val="2E74B5"/>
      <w:sz w:val="24"/>
      <w:szCs w:val="24"/>
    </w:rPr>
  </w:style>
  <w:style w:type="paragraph" w:styleId="6">
    <w:name w:val="heading 5"/>
    <w:basedOn w:val="1"/>
    <w:next w:val="1"/>
    <w:semiHidden/>
    <w:unhideWhenUsed/>
    <w:qFormat/>
    <w:uiPriority w:val="9"/>
    <w:pPr>
      <w:spacing w:before="240" w:after="120"/>
      <w:outlineLvl w:val="4"/>
    </w:pPr>
    <w:rPr>
      <w:b/>
      <w:bCs/>
      <w:color w:val="2E74B5"/>
    </w:rPr>
  </w:style>
  <w:style w:type="paragraph" w:styleId="7">
    <w:name w:val="heading 6"/>
    <w:basedOn w:val="1"/>
    <w:next w:val="1"/>
    <w:semiHidden/>
    <w:unhideWhenUsed/>
    <w:qFormat/>
    <w:uiPriority w:val="9"/>
    <w:pPr>
      <w:outlineLvl w:val="5"/>
    </w:pPr>
    <w:rPr>
      <w:color w:val="1F4D78"/>
    </w:rPr>
  </w:style>
  <w:style w:type="character" w:default="1" w:styleId="12">
    <w:name w:val="Default Paragraph Font"/>
    <w:semiHidden/>
    <w:unhideWhenUsed/>
    <w:qFormat/>
    <w:uiPriority w:val="1"/>
  </w:style>
  <w:style w:type="table" w:default="1" w:styleId="11">
    <w:name w:val="Normal Table"/>
    <w:semiHidden/>
    <w:unhideWhenUsed/>
    <w:uiPriority w:val="99"/>
    <w:tblPr>
      <w:tblCellMar>
        <w:top w:w="0" w:type="dxa"/>
        <w:left w:w="108" w:type="dxa"/>
        <w:bottom w:w="0" w:type="dxa"/>
        <w:right w:w="108" w:type="dxa"/>
      </w:tblCellMar>
    </w:tblPr>
  </w:style>
  <w:style w:type="paragraph" w:styleId="8">
    <w:name w:val="Subtitle"/>
    <w:basedOn w:val="1"/>
    <w:next w:val="1"/>
    <w:qFormat/>
    <w:uiPriority w:val="11"/>
    <w:pPr>
      <w:spacing w:after="0"/>
      <w:jc w:val="center"/>
    </w:pPr>
    <w:rPr>
      <w:rFonts w:ascii="Aptos Light" w:hAnsi="Aptos Light" w:eastAsia="Aptos Light" w:cs="Aptos Light"/>
      <w:i/>
      <w:iCs/>
      <w:color w:val="666666"/>
      <w:sz w:val="32"/>
      <w:szCs w:val="32"/>
    </w:rPr>
  </w:style>
  <w:style w:type="paragraph" w:styleId="9">
    <w:name w:val="footnote text"/>
    <w:basedOn w:val="1"/>
    <w:link w:val="17"/>
    <w:semiHidden/>
    <w:unhideWhenUsed/>
    <w:uiPriority w:val="99"/>
    <w:pPr>
      <w:spacing w:after="0" w:line="240" w:lineRule="auto"/>
    </w:pPr>
    <w:rPr>
      <w:sz w:val="20"/>
      <w:szCs w:val="20"/>
    </w:rPr>
  </w:style>
  <w:style w:type="paragraph" w:styleId="10">
    <w:name w:val="Title"/>
    <w:basedOn w:val="1"/>
    <w:next w:val="1"/>
    <w:qFormat/>
    <w:uiPriority w:val="10"/>
    <w:pPr>
      <w:spacing w:after="0"/>
      <w:jc w:val="center"/>
    </w:pPr>
    <w:rPr>
      <w:rFonts w:ascii="Aptos Light" w:hAnsi="Aptos Light" w:eastAsia="Aptos Light" w:cs="Aptos Light"/>
      <w:b/>
      <w:bCs/>
      <w:color w:val="000000"/>
      <w:sz w:val="44"/>
      <w:szCs w:val="44"/>
    </w:rPr>
  </w:style>
  <w:style w:type="character" w:styleId="13">
    <w:name w:val="Hyperlink"/>
    <w:unhideWhenUsed/>
    <w:qFormat/>
    <w:uiPriority w:val="99"/>
    <w:rPr>
      <w:color w:val="0563C1"/>
      <w:u w:val="single"/>
    </w:rPr>
  </w:style>
  <w:style w:type="character" w:styleId="14">
    <w:name w:val="footnote reference"/>
    <w:semiHidden/>
    <w:unhideWhenUsed/>
    <w:qFormat/>
    <w:uiPriority w:val="99"/>
    <w:rPr>
      <w:vertAlign w:val="superscript"/>
    </w:rPr>
  </w:style>
  <w:style w:type="paragraph" w:customStyle="1" w:styleId="15">
    <w:name w:val="Texto en negrita1"/>
    <w:basedOn w:val="1"/>
    <w:next w:val="1"/>
    <w:qFormat/>
    <w:uiPriority w:val="0"/>
    <w:rPr>
      <w:b/>
      <w:bCs/>
    </w:rPr>
  </w:style>
  <w:style w:type="paragraph" w:styleId="16">
    <w:name w:val="List Paragraph"/>
    <w:basedOn w:val="1"/>
    <w:qFormat/>
    <w:uiPriority w:val="0"/>
    <w:pPr>
      <w:spacing w:after="40" w:line="240" w:lineRule="auto"/>
    </w:pPr>
  </w:style>
  <w:style w:type="character" w:customStyle="1" w:styleId="17">
    <w:name w:val="Texto nota pie Car"/>
    <w:link w:val="9"/>
    <w:semiHidden/>
    <w:unhideWhenUsed/>
    <w:uiPriority w:val="99"/>
    <w:rPr>
      <w:sz w:val="20"/>
      <w:szCs w:val="20"/>
    </w:rPr>
  </w:style>
  <w:style w:type="paragraph" w:styleId="18">
    <w:name w:val="Quote"/>
    <w:basedOn w:val="1"/>
    <w:qFormat/>
    <w:uiPriority w:val="0"/>
    <w:pPr>
      <w:spacing w:before="200"/>
      <w:jc w:val="center"/>
    </w:pPr>
    <w:rPr>
      <w:i/>
      <w:iCs/>
    </w:rPr>
  </w:style>
  <w:style w:type="paragraph" w:styleId="19">
    <w:name w:val="Intense Quote"/>
    <w:basedOn w:val="1"/>
    <w:qFormat/>
    <w:uiPriority w:val="0"/>
    <w:pPr>
      <w:spacing w:before="200"/>
      <w:jc w:val="center"/>
    </w:pPr>
    <w:rPr>
      <w:i/>
      <w:iCs/>
      <w:color w:val="444444"/>
    </w:rPr>
  </w:style>
  <w:style w:type="paragraph" w:styleId="20">
    <w:name w:val="No Spacing"/>
    <w:basedOn w:val="1"/>
    <w:qFormat/>
    <w:uiPriority w:val="0"/>
    <w:pPr>
      <w:spacing w:after="0" w:line="240" w:lineRule="auto"/>
    </w:pPr>
  </w:style>
  <w:style w:type="paragraph" w:customStyle="1" w:styleId="21">
    <w:name w:val="Hipervínculo1"/>
    <w:basedOn w:val="1"/>
    <w:qFormat/>
    <w:uiPriority w:val="0"/>
    <w:rPr>
      <w:color w:val="0563C1"/>
      <w:u w:val="single"/>
    </w:rPr>
  </w:style>
  <w:style w:type="paragraph" w:customStyle="1" w:styleId="22">
    <w:name w:val="Hintbox"/>
    <w:basedOn w:val="1"/>
    <w:next w:val="1"/>
    <w:qFormat/>
    <w:uiPriority w:val="0"/>
    <w:pPr>
      <w:pBdr>
        <w:top w:val="single" w:color="B8D8FF" w:sz="2" w:space="5"/>
        <w:left w:val="single" w:color="B8D8FF" w:sz="2" w:space="5"/>
        <w:bottom w:val="single" w:color="B8D8FF" w:sz="2" w:space="5"/>
        <w:right w:val="single" w:color="B8D8FF" w:sz="2" w:space="5"/>
      </w:pBdr>
      <w:shd w:val="solid" w:color="E6F3FF" w:fill="auto"/>
      <w:spacing w:before="240" w:after="240" w:line="240" w:lineRule="auto"/>
    </w:pPr>
    <w:rPr>
      <w:sz w:val="24"/>
      <w:szCs w:val="24"/>
    </w:rPr>
  </w:style>
  <w:style w:type="character" w:customStyle="1" w:styleId="23">
    <w:name w:val="Unresolved Mention"/>
    <w:basedOn w:val="12"/>
    <w:semiHidden/>
    <w:unhideWhenUsed/>
    <w:uiPriority w:val="99"/>
    <w:rPr>
      <w:color w:val="605E5C"/>
      <w:shd w:val="clear" w:color="auto" w:fill="E1DFDD"/>
    </w:rPr>
  </w:style>
  <w:style w:type="paragraph" w:customStyle="1" w:styleId="24">
    <w:name w:val="Source Code"/>
    <w:basedOn w:val="1"/>
    <w:qFormat/>
    <w:uiPriority w:val="0"/>
    <w:pPr>
      <w:wordWrap w:val="0"/>
    </w:pPr>
  </w:style>
  <w:style w:type="character" w:customStyle="1" w:styleId="25">
    <w:name w:val="KeywordTok"/>
    <w:qFormat/>
    <w:uiPriority w:val="0"/>
    <w:rPr>
      <w:b/>
      <w:color w:val="007020"/>
    </w:rPr>
  </w:style>
  <w:style w:type="character" w:customStyle="1" w:styleId="26">
    <w:name w:val="DataTypeTok"/>
    <w:qFormat/>
    <w:uiPriority w:val="0"/>
    <w:rPr>
      <w:color w:val="902000"/>
    </w:rPr>
  </w:style>
  <w:style w:type="character" w:customStyle="1" w:styleId="27">
    <w:name w:val="DecValTok"/>
    <w:qFormat/>
    <w:uiPriority w:val="0"/>
    <w:rPr>
      <w:color w:val="40A070"/>
    </w:rPr>
  </w:style>
  <w:style w:type="character" w:customStyle="1" w:styleId="28">
    <w:name w:val="BaseNTok"/>
    <w:qFormat/>
    <w:uiPriority w:val="0"/>
    <w:rPr>
      <w:color w:val="40A070"/>
    </w:rPr>
  </w:style>
  <w:style w:type="character" w:customStyle="1" w:styleId="29">
    <w:name w:val="FloatTok"/>
    <w:qFormat/>
    <w:uiPriority w:val="0"/>
    <w:rPr>
      <w:color w:val="40A070"/>
    </w:rPr>
  </w:style>
  <w:style w:type="character" w:customStyle="1" w:styleId="30">
    <w:name w:val="ConstantTok"/>
    <w:qFormat/>
    <w:uiPriority w:val="0"/>
    <w:rPr>
      <w:color w:val="880000"/>
    </w:rPr>
  </w:style>
  <w:style w:type="character" w:customStyle="1" w:styleId="31">
    <w:name w:val="CharTok"/>
    <w:qFormat/>
    <w:uiPriority w:val="0"/>
    <w:rPr>
      <w:color w:val="4070A0"/>
    </w:rPr>
  </w:style>
  <w:style w:type="character" w:customStyle="1" w:styleId="32">
    <w:name w:val="SpecialCharTok"/>
    <w:qFormat/>
    <w:uiPriority w:val="0"/>
    <w:rPr>
      <w:color w:val="4070A0"/>
    </w:rPr>
  </w:style>
  <w:style w:type="character" w:customStyle="1" w:styleId="33">
    <w:name w:val="StringTok"/>
    <w:uiPriority w:val="0"/>
    <w:rPr>
      <w:color w:val="4070A0"/>
    </w:rPr>
  </w:style>
  <w:style w:type="character" w:customStyle="1" w:styleId="34">
    <w:name w:val="VerbatimStringTok"/>
    <w:qFormat/>
    <w:uiPriority w:val="0"/>
    <w:rPr>
      <w:color w:val="4070A0"/>
    </w:rPr>
  </w:style>
  <w:style w:type="character" w:customStyle="1" w:styleId="35">
    <w:name w:val="SpecialStringTok"/>
    <w:qFormat/>
    <w:uiPriority w:val="0"/>
    <w:rPr>
      <w:color w:val="BB6688"/>
    </w:rPr>
  </w:style>
  <w:style w:type="character" w:customStyle="1" w:styleId="36">
    <w:name w:val="ImportTok"/>
    <w:qFormat/>
    <w:uiPriority w:val="0"/>
    <w:rPr>
      <w:b/>
      <w:color w:val="008000"/>
    </w:rPr>
  </w:style>
  <w:style w:type="character" w:customStyle="1" w:styleId="37">
    <w:name w:val="CommentTok"/>
    <w:uiPriority w:val="0"/>
    <w:rPr>
      <w:i/>
      <w:color w:val="60A0B0"/>
    </w:rPr>
  </w:style>
  <w:style w:type="character" w:customStyle="1" w:styleId="38">
    <w:name w:val="DocumentationTok"/>
    <w:qFormat/>
    <w:uiPriority w:val="0"/>
    <w:rPr>
      <w:i/>
      <w:color w:val="BA2121"/>
    </w:rPr>
  </w:style>
  <w:style w:type="character" w:customStyle="1" w:styleId="39">
    <w:name w:val="AnnotationTok"/>
    <w:qFormat/>
    <w:uiPriority w:val="0"/>
    <w:rPr>
      <w:b/>
      <w:i/>
      <w:color w:val="60A0B0"/>
    </w:rPr>
  </w:style>
  <w:style w:type="character" w:customStyle="1" w:styleId="40">
    <w:name w:val="CommentVarTok"/>
    <w:qFormat/>
    <w:uiPriority w:val="0"/>
    <w:rPr>
      <w:b/>
      <w:i/>
      <w:color w:val="60A0B0"/>
    </w:rPr>
  </w:style>
  <w:style w:type="character" w:customStyle="1" w:styleId="41">
    <w:name w:val="OtherTok"/>
    <w:qFormat/>
    <w:uiPriority w:val="0"/>
    <w:rPr>
      <w:color w:val="007020"/>
    </w:rPr>
  </w:style>
  <w:style w:type="character" w:customStyle="1" w:styleId="42">
    <w:name w:val="FunctionTok"/>
    <w:qFormat/>
    <w:uiPriority w:val="0"/>
    <w:rPr>
      <w:color w:val="06287E"/>
    </w:rPr>
  </w:style>
  <w:style w:type="character" w:customStyle="1" w:styleId="43">
    <w:name w:val="VariableTok"/>
    <w:uiPriority w:val="0"/>
    <w:rPr>
      <w:color w:val="19177C"/>
    </w:rPr>
  </w:style>
  <w:style w:type="character" w:customStyle="1" w:styleId="44">
    <w:name w:val="ControlFlowTok"/>
    <w:qFormat/>
    <w:uiPriority w:val="0"/>
    <w:rPr>
      <w:b/>
      <w:color w:val="007020"/>
    </w:rPr>
  </w:style>
  <w:style w:type="character" w:customStyle="1" w:styleId="45">
    <w:name w:val="OperatorTok"/>
    <w:qFormat/>
    <w:uiPriority w:val="0"/>
    <w:rPr>
      <w:color w:val="666666"/>
    </w:rPr>
  </w:style>
  <w:style w:type="character" w:customStyle="1" w:styleId="46">
    <w:name w:val="BuiltInTok"/>
    <w:qFormat/>
    <w:uiPriority w:val="0"/>
    <w:rPr>
      <w:color w:val="008000"/>
    </w:rPr>
  </w:style>
  <w:style w:type="character" w:customStyle="1" w:styleId="47">
    <w:name w:val="ExtensionTok"/>
    <w:uiPriority w:val="0"/>
  </w:style>
  <w:style w:type="character" w:customStyle="1" w:styleId="48">
    <w:name w:val="PreprocessorTok"/>
    <w:qFormat/>
    <w:uiPriority w:val="0"/>
    <w:rPr>
      <w:color w:val="BC7A00"/>
    </w:rPr>
  </w:style>
  <w:style w:type="character" w:customStyle="1" w:styleId="49">
    <w:name w:val="AttributeTok"/>
    <w:qFormat/>
    <w:uiPriority w:val="0"/>
    <w:rPr>
      <w:color w:val="7D9029"/>
    </w:rPr>
  </w:style>
  <w:style w:type="character" w:customStyle="1" w:styleId="50">
    <w:name w:val="RegionMarkerTok"/>
    <w:uiPriority w:val="0"/>
  </w:style>
  <w:style w:type="character" w:customStyle="1" w:styleId="51">
    <w:name w:val="InformationTok"/>
    <w:uiPriority w:val="0"/>
    <w:rPr>
      <w:b/>
      <w:i/>
      <w:color w:val="60A0B0"/>
    </w:rPr>
  </w:style>
  <w:style w:type="character" w:customStyle="1" w:styleId="52">
    <w:name w:val="WarningTok"/>
    <w:qFormat/>
    <w:uiPriority w:val="0"/>
    <w:rPr>
      <w:b/>
      <w:i/>
      <w:color w:val="60A0B0"/>
    </w:rPr>
  </w:style>
  <w:style w:type="character" w:customStyle="1" w:styleId="53">
    <w:name w:val="AlertTok"/>
    <w:qFormat/>
    <w:uiPriority w:val="0"/>
    <w:rPr>
      <w:b/>
      <w:color w:val="FF0000"/>
    </w:rPr>
  </w:style>
  <w:style w:type="character" w:customStyle="1" w:styleId="54">
    <w:name w:val="ErrorTok"/>
    <w:qFormat/>
    <w:uiPriority w:val="0"/>
    <w:rPr>
      <w:b/>
      <w:color w:val="FF0000"/>
    </w:rPr>
  </w:style>
  <w:style w:type="character" w:customStyle="1" w:styleId="55">
    <w:name w:val="NormalTok"/>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8</Pages>
  <Words>2961</Words>
  <Characters>3162</Characters>
  <Lines>14</Lines>
  <Paragraphs>4</Paragraphs>
  <TotalTime>177</TotalTime>
  <ScaleCrop>false</ScaleCrop>
  <LinksUpToDate>false</LinksUpToDate>
  <CharactersWithSpaces>3173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2026-03-04T07:58:00Z</dcterms:created>
  <dc:creator>赖建铭</dc:creator>
  <cp:lastModifiedBy>赖建铭</cp:lastModifiedBy>
  <dcterms:modified xsi:type="dcterms:W3CDTF">2026-03-04T11:07:54Z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029E888D557B4BF5B5998501C1D843C2_13</vt:lpwstr>
  </property>
</Properties>
</file>