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4B396E">
      <w:pPr>
        <w:pStyle w:val="4"/>
        <w:ind w:left="0" w:leftChars="0" w:firstLine="0" w:firstLineChars="0"/>
        <w:jc w:val="center"/>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基于多智能体协同的控规审查辅助系统设计</w:t>
      </w:r>
    </w:p>
    <w:p w14:paraId="5C046C8D">
      <w:pPr>
        <w:pStyle w:val="4"/>
        <w:ind w:left="0" w:leftChars="0" w:firstLine="0" w:firstLineChars="0"/>
        <w:jc w:val="center"/>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——以成都市为例</w:t>
      </w:r>
    </w:p>
    <w:p w14:paraId="2B9F9C4C">
      <w:pPr>
        <w:pStyle w:val="4"/>
        <w:ind w:left="0" w:leftChars="0" w:firstLine="0" w:firstLineChars="0"/>
        <w:rPr>
          <w:rStyle w:val="17"/>
          <w:rFonts w:hint="eastAsia" w:ascii="楷体_GB2312" w:hAnsi="楷体_GB2312" w:eastAsia="楷体_GB2312" w:cs="楷体_GB2312"/>
          <w:b w:val="0"/>
          <w:bCs w:val="0"/>
          <w:sz w:val="18"/>
          <w:szCs w:val="18"/>
        </w:rPr>
      </w:pPr>
      <w:r>
        <w:rPr>
          <w:rStyle w:val="17"/>
          <w:rFonts w:hint="eastAsia" w:ascii="楷体_GB2312" w:hAnsi="楷体_GB2312" w:eastAsia="楷体_GB2312" w:cs="楷体_GB2312"/>
          <w:b w:val="0"/>
          <w:bCs w:val="0"/>
          <w:sz w:val="18"/>
          <w:szCs w:val="18"/>
        </w:rPr>
        <w:t>摘要：</w:t>
      </w:r>
    </w:p>
    <w:p w14:paraId="32FB8B30">
      <w:pPr>
        <w:pStyle w:val="4"/>
        <w:ind w:left="0" w:leftChars="0" w:firstLine="420" w:firstLineChars="0"/>
        <w:rPr>
          <w:rStyle w:val="17"/>
          <w:rFonts w:hint="eastAsia" w:ascii="楷体_GB2312" w:hAnsi="楷体_GB2312" w:eastAsia="楷体_GB2312" w:cs="楷体_GB2312"/>
          <w:b w:val="0"/>
          <w:bCs w:val="0"/>
          <w:sz w:val="18"/>
          <w:szCs w:val="18"/>
        </w:rPr>
      </w:pPr>
      <w:r>
        <w:rPr>
          <w:rStyle w:val="17"/>
          <w:rFonts w:hint="eastAsia" w:ascii="楷体_GB2312" w:hAnsi="楷体_GB2312" w:eastAsia="楷体_GB2312" w:cs="楷体_GB2312"/>
          <w:b w:val="0"/>
          <w:bCs w:val="0"/>
          <w:sz w:val="18"/>
          <w:szCs w:val="18"/>
        </w:rPr>
        <w:t>随着国土空间规划体系的不断深化，控制性详细规划（控规）的调整审查面临着跨部门协调多、底线约束严、历史遗留问题复杂等痛点。传统的人工审查模式高度依赖专家个人经验，存在效率瓶颈与漏审风险。同时，通用大语言模型（LLM）在面对高度非标准化的垂直领域政务规则时，往往缺乏本土知识，极易产生逻辑“幻觉”。针对上述问题，本文提出了一种基于检索增强生成（RAG）与多智能体（Multi-Agent）工作流的城市规划智能审查辅助框架。</w:t>
      </w:r>
    </w:p>
    <w:p w14:paraId="6C6CF81D">
      <w:pPr>
        <w:pStyle w:val="4"/>
        <w:ind w:left="0" w:leftChars="0" w:firstLine="420" w:firstLineChars="0"/>
        <w:rPr>
          <w:rStyle w:val="17"/>
          <w:rFonts w:hint="eastAsia" w:ascii="楷体_GB2312" w:hAnsi="楷体_GB2312" w:eastAsia="楷体_GB2312" w:cs="楷体_GB2312"/>
          <w:b w:val="0"/>
          <w:bCs w:val="0"/>
          <w:sz w:val="18"/>
          <w:szCs w:val="18"/>
        </w:rPr>
      </w:pPr>
      <w:r>
        <w:rPr>
          <w:rStyle w:val="17"/>
          <w:rFonts w:hint="eastAsia" w:ascii="楷体_GB2312" w:hAnsi="楷体_GB2312" w:eastAsia="楷体_GB2312" w:cs="楷体_GB2312"/>
          <w:b w:val="0"/>
          <w:bCs w:val="0"/>
          <w:sz w:val="18"/>
          <w:szCs w:val="18"/>
        </w:rPr>
        <w:t>首先，本研究基于成都市真实的控规局部调整案卷，深度清洗并解构了包含“核心调整诉求”与“官方审查意见”的垂直领域数据集，构建了高信噪比的本地化政务规则向量知识库。其次，本文设计了“分块扫描-知识检索-综合生成”的智能体协同审查机制：初审智能体负责基于长文本分块（Chunking）技术精读规划报告，精准提取实质性调整动作；主审智能体则结合相似度检索召回的本土历史审查红线（如、20%公共配套补划底线、涉轨净地审查等），生成结构化、规范化的《技术审查意见》。</w:t>
      </w:r>
    </w:p>
    <w:p w14:paraId="5E03DFFC">
      <w:pPr>
        <w:pStyle w:val="4"/>
        <w:ind w:left="0" w:leftChars="0" w:firstLine="420" w:firstLineChars="0"/>
        <w:rPr>
          <w:rStyle w:val="17"/>
          <w:rFonts w:hint="eastAsia" w:eastAsia="宋体"/>
          <w:lang w:eastAsia="zh-CN"/>
        </w:rPr>
      </w:pPr>
      <w:r>
        <w:rPr>
          <w:rStyle w:val="17"/>
          <w:rFonts w:hint="eastAsia" w:ascii="楷体_GB2312" w:hAnsi="楷体_GB2312" w:eastAsia="楷体_GB2312" w:cs="楷体_GB2312"/>
          <w:b w:val="0"/>
          <w:bCs w:val="0"/>
          <w:sz w:val="18"/>
          <w:szCs w:val="18"/>
        </w:rPr>
        <w:t>消融实验（Ablation Study）与人工比对结果表明，相较于 Zero-shot（零样本）通用大模型，本文提出的 RAG-Agent 框架在特定政务规则的命中率和准确度上取得了显著提升，有效抑制了模型幻觉，并将单宗复杂案卷的基础审查时间从小时级压缩至秒级。本研究不仅大幅提升了城市规划审查的标准化与效能，也为大模型技术在复杂政务审批场景的垂直落地提供了可复制的工程范式。</w:t>
      </w:r>
    </w:p>
    <w:p w14:paraId="498B02ED">
      <w:pPr>
        <w:pStyle w:val="4"/>
        <w:ind w:left="0" w:leftChars="0" w:firstLine="0" w:firstLineChars="0"/>
        <w:rPr>
          <w:rFonts w:hint="eastAsia" w:ascii="楷体_GB2312" w:hAnsi="楷体_GB2312" w:eastAsia="楷体_GB2312" w:cs="楷体_GB2312"/>
          <w:sz w:val="18"/>
          <w:szCs w:val="18"/>
        </w:rPr>
      </w:pPr>
      <w:r>
        <w:rPr>
          <w:rStyle w:val="17"/>
          <w:rFonts w:hint="eastAsia" w:ascii="楷体_GB2312" w:hAnsi="楷体_GB2312" w:eastAsia="楷体_GB2312" w:cs="楷体_GB2312"/>
          <w:sz w:val="18"/>
          <w:szCs w:val="18"/>
        </w:rPr>
        <w:t>关键词：</w:t>
      </w:r>
      <w:r>
        <w:rPr>
          <w:rFonts w:hint="eastAsia" w:ascii="楷体_GB2312" w:hAnsi="楷体_GB2312" w:eastAsia="楷体_GB2312" w:cs="楷体_GB2312"/>
          <w:sz w:val="18"/>
          <w:szCs w:val="18"/>
        </w:rPr>
        <w:t>大语言模型；检索增强生成（RAG）；多智能体系统（Agent）；</w:t>
      </w:r>
      <w:r>
        <w:rPr>
          <w:rFonts w:hint="eastAsia" w:ascii="楷体_GB2312" w:hAnsi="楷体_GB2312" w:eastAsia="楷体_GB2312" w:cs="楷体_GB2312"/>
          <w:sz w:val="18"/>
          <w:szCs w:val="18"/>
          <w:lang w:val="en-US" w:eastAsia="zh-CN"/>
        </w:rPr>
        <w:t>详细规划</w:t>
      </w:r>
      <w:r>
        <w:rPr>
          <w:rFonts w:hint="eastAsia" w:ascii="楷体_GB2312" w:hAnsi="楷体_GB2312" w:eastAsia="楷体_GB2312" w:cs="楷体_GB2312"/>
          <w:sz w:val="18"/>
          <w:szCs w:val="18"/>
        </w:rPr>
        <w:t>；控规审查；政务大模型</w:t>
      </w:r>
    </w:p>
    <w:p w14:paraId="400F9A80">
      <w:pPr>
        <w:rPr>
          <w:rFonts w:hint="eastAsia"/>
        </w:rPr>
      </w:pPr>
    </w:p>
    <w:p w14:paraId="58CAEC58">
      <w:pPr>
        <w:pStyle w:val="2"/>
        <w:rPr>
          <w:rFonts w:hint="eastAsia" w:ascii="宋体" w:hAnsi="宋体" w:eastAsia="宋体" w:cs="宋体"/>
          <w:sz w:val="21"/>
          <w:szCs w:val="21"/>
        </w:rPr>
      </w:pPr>
      <w:r>
        <w:rPr>
          <w:rFonts w:hint="eastAsia" w:ascii="宋体" w:hAnsi="宋体" w:eastAsia="宋体" w:cs="宋体"/>
          <w:sz w:val="21"/>
          <w:szCs w:val="21"/>
        </w:rPr>
        <w:t>引言</w:t>
      </w:r>
    </w:p>
    <w:p w14:paraId="3FBEB3DD">
      <w:pPr>
        <w:pStyle w:val="3"/>
        <w:numPr>
          <w:ilvl w:val="0"/>
          <w:numId w:val="1"/>
        </w:numPr>
        <w:ind w:left="0" w:leftChars="0" w:firstLine="0" w:firstLineChars="0"/>
        <w:rPr>
          <w:rFonts w:hint="eastAsia" w:ascii="宋体" w:hAnsi="宋体" w:eastAsia="宋体" w:cs="宋体"/>
          <w:sz w:val="21"/>
          <w:szCs w:val="21"/>
        </w:rPr>
      </w:pPr>
      <w:bookmarkStart w:id="0" w:name="_Ref14191"/>
      <w:r>
        <w:rPr>
          <w:rFonts w:hint="eastAsia" w:ascii="宋体" w:hAnsi="宋体" w:eastAsia="宋体" w:cs="宋体"/>
          <w:sz w:val="21"/>
          <w:szCs w:val="21"/>
        </w:rPr>
        <w:t>行业背景与传统审查痛点</w:t>
      </w:r>
      <w:bookmarkEnd w:id="0"/>
    </w:p>
    <w:p w14:paraId="557CB05C">
      <w:pPr>
        <w:pStyle w:val="4"/>
        <w:rPr>
          <w:rFonts w:hint="eastAsia" w:ascii="宋体" w:hAnsi="宋体" w:eastAsia="宋体" w:cs="宋体"/>
          <w:sz w:val="21"/>
          <w:szCs w:val="21"/>
        </w:rPr>
      </w:pPr>
      <w:r>
        <w:rPr>
          <w:rFonts w:hint="eastAsia" w:ascii="宋体" w:hAnsi="宋体" w:eastAsia="宋体" w:cs="宋体"/>
          <w:sz w:val="21"/>
          <w:szCs w:val="21"/>
        </w:rPr>
        <w:t>随着我国国土空间规划体系的不断完善与深化，控制性详细规划（简称“控规”）作为落实总体规划、指导城市建设和实施土地管理的法定依据，其局部调整工作日益频繁</w:t>
      </w:r>
      <w:r>
        <w:rPr>
          <w:rFonts w:hint="eastAsia" w:ascii="宋体" w:hAnsi="宋体" w:eastAsia="宋体" w:cs="宋体"/>
          <w:sz w:val="21"/>
          <w:szCs w:val="21"/>
          <w:vertAlign w:val="superscript"/>
        </w:rPr>
        <w:t>[1]</w:t>
      </w:r>
      <w:r>
        <w:rPr>
          <w:rFonts w:hint="eastAsia" w:ascii="宋体" w:hAnsi="宋体" w:eastAsia="宋体" w:cs="宋体"/>
          <w:sz w:val="21"/>
          <w:szCs w:val="21"/>
        </w:rPr>
        <w:t>。控规局部调整不仅涉及用地性质的变更与容积率的调整，更牵涉到极其复杂的城市物理空间约束与跨部门政务协同</w:t>
      </w:r>
      <w:r>
        <w:rPr>
          <w:rFonts w:hint="eastAsia" w:ascii="宋体" w:hAnsi="宋体" w:cs="宋体"/>
          <w:sz w:val="21"/>
          <w:szCs w:val="21"/>
          <w:vertAlign w:val="superscript"/>
          <w:lang w:val="en-US" w:eastAsia="zh-CN"/>
        </w:rPr>
        <w:t>[2]</w:t>
      </w:r>
      <w:r>
        <w:rPr>
          <w:rFonts w:hint="eastAsia" w:ascii="宋体" w:hAnsi="宋体" w:eastAsia="宋体" w:cs="宋体"/>
          <w:sz w:val="21"/>
          <w:szCs w:val="21"/>
        </w:rPr>
        <w:t>。例如，在成都市的控规调整实践中，不仅包含严格的20%公共配套补划底线，还常常涉及地铁保护区退让、高压线迁改、涉密军产避让以及“一住两公”土壤污染调查等高度本土化的刚性政务规则。</w:t>
      </w:r>
    </w:p>
    <w:p w14:paraId="505392F3">
      <w:pPr>
        <w:pStyle w:val="4"/>
        <w:rPr>
          <w:rFonts w:hint="eastAsia" w:ascii="宋体" w:hAnsi="宋体" w:eastAsia="宋体" w:cs="宋体"/>
          <w:sz w:val="21"/>
          <w:szCs w:val="21"/>
        </w:rPr>
      </w:pPr>
      <w:r>
        <w:rPr>
          <w:rFonts w:hint="eastAsia" w:ascii="宋体" w:hAnsi="宋体" w:eastAsia="宋体" w:cs="宋体"/>
          <w:sz w:val="21"/>
          <w:szCs w:val="21"/>
        </w:rPr>
        <w:t>目前，</w:t>
      </w:r>
      <w:r>
        <w:rPr>
          <w:rFonts w:hint="eastAsia" w:ascii="宋体" w:hAnsi="宋体" w:cs="宋体"/>
          <w:sz w:val="21"/>
          <w:szCs w:val="21"/>
          <w:lang w:val="en-US" w:eastAsia="zh-CN"/>
        </w:rPr>
        <w:t>我市</w:t>
      </w:r>
      <w:r>
        <w:rPr>
          <w:rFonts w:hint="eastAsia" w:ascii="宋体" w:hAnsi="宋体" w:eastAsia="宋体" w:cs="宋体"/>
          <w:sz w:val="21"/>
          <w:szCs w:val="21"/>
        </w:rPr>
        <w:t>自然资源主管部门在进行控规调整技术审查时，依然高度依赖</w:t>
      </w:r>
      <w:r>
        <w:rPr>
          <w:rFonts w:hint="eastAsia" w:ascii="宋体" w:hAnsi="宋体" w:cs="宋体"/>
          <w:sz w:val="21"/>
          <w:szCs w:val="21"/>
          <w:lang w:val="en-US" w:eastAsia="zh-CN"/>
        </w:rPr>
        <w:t>第三方</w:t>
      </w:r>
      <w:r>
        <w:rPr>
          <w:rFonts w:hint="eastAsia" w:ascii="宋体" w:hAnsi="宋体" w:eastAsia="宋体" w:cs="宋体"/>
          <w:sz w:val="21"/>
          <w:szCs w:val="21"/>
        </w:rPr>
        <w:t>规划专家的个人经验与</w:t>
      </w:r>
      <w:r>
        <w:rPr>
          <w:rFonts w:hint="eastAsia" w:ascii="宋体" w:hAnsi="宋体" w:cs="宋体"/>
          <w:sz w:val="21"/>
          <w:szCs w:val="21"/>
          <w:lang w:val="en-US" w:eastAsia="zh-CN"/>
        </w:rPr>
        <w:t>区局处室经办人的</w:t>
      </w:r>
      <w:r>
        <w:rPr>
          <w:rFonts w:hint="eastAsia" w:ascii="宋体" w:hAnsi="宋体" w:eastAsia="宋体" w:cs="宋体"/>
          <w:sz w:val="21"/>
          <w:szCs w:val="21"/>
        </w:rPr>
        <w:t>人工核对。这种传统模式存在两大显著痛点：一是审查效率瓶颈，面对动辄上百页的规划论证报告，人工逐页翻阅、比对图纸与</w:t>
      </w:r>
      <w:r>
        <w:rPr>
          <w:rFonts w:hint="eastAsia" w:ascii="宋体" w:hAnsi="宋体" w:cs="宋体"/>
          <w:sz w:val="21"/>
          <w:szCs w:val="21"/>
          <w:lang w:val="en-US" w:eastAsia="zh-CN"/>
        </w:rPr>
        <w:t>基础要素底板、政策文件等</w:t>
      </w:r>
      <w:r>
        <w:rPr>
          <w:rFonts w:hint="eastAsia" w:ascii="宋体" w:hAnsi="宋体" w:eastAsia="宋体" w:cs="宋体"/>
          <w:sz w:val="21"/>
          <w:szCs w:val="21"/>
        </w:rPr>
        <w:t>耗时极长；二是漏审错审风险，由于历史遗留问题复杂且审查规则散落于各级红头文件中，极易因审查人员的经验盲区导致关键审查意见（如学位缺口倒挂、邻避设施冲突）被遗漏，进而引发后续的工程事故或行政复议风险。</w:t>
      </w:r>
    </w:p>
    <w:p w14:paraId="2ED1B3BD">
      <w:pPr>
        <w:pStyle w:val="3"/>
        <w:numPr>
          <w:ilvl w:val="0"/>
          <w:numId w:val="1"/>
        </w:numPr>
        <w:ind w:left="0" w:leftChars="0" w:firstLine="0" w:firstLineChars="0"/>
        <w:rPr>
          <w:rFonts w:hint="eastAsia" w:ascii="宋体" w:hAnsi="宋体" w:eastAsia="宋体" w:cs="宋体"/>
          <w:sz w:val="21"/>
          <w:szCs w:val="21"/>
        </w:rPr>
      </w:pPr>
      <w:r>
        <w:rPr>
          <w:rFonts w:hint="eastAsia" w:ascii="宋体" w:hAnsi="宋体" w:eastAsia="宋体" w:cs="宋体"/>
          <w:sz w:val="21"/>
          <w:szCs w:val="21"/>
        </w:rPr>
        <w:t>大模型技术的局限性与挑战</w:t>
      </w:r>
    </w:p>
    <w:p w14:paraId="41A22699">
      <w:pPr>
        <w:pStyle w:val="4"/>
        <w:rPr>
          <w:rFonts w:hint="eastAsia" w:ascii="宋体" w:hAnsi="宋体" w:eastAsia="宋体" w:cs="宋体"/>
          <w:sz w:val="21"/>
          <w:szCs w:val="21"/>
        </w:rPr>
      </w:pPr>
      <w:r>
        <w:rPr>
          <w:rFonts w:hint="eastAsia" w:ascii="宋体" w:hAnsi="宋体" w:eastAsia="宋体" w:cs="宋体"/>
          <w:sz w:val="21"/>
          <w:szCs w:val="21"/>
        </w:rPr>
        <w:t>近年来，以 ChatGPT、DeepSeek 为代表的大语言模型（Large Language Models, LLMs）在自然语言处理与长文本理解方面展现出了颠覆性的能力，并在政务问答、文案撰写等通用场景中得到了广泛应用。然而，当通用大模型直接应用于高度非标准化、极具地方特色的城市规划技术审查时，却遭遇了严重的“水土不服”</w:t>
      </w:r>
      <w:r>
        <w:rPr>
          <w:rFonts w:hint="eastAsia" w:ascii="宋体" w:hAnsi="宋体" w:cs="宋体"/>
          <w:sz w:val="21"/>
          <w:szCs w:val="21"/>
          <w:vertAlign w:val="superscript"/>
          <w:lang w:val="en-US" w:eastAsia="zh-CN"/>
        </w:rPr>
        <w:t>[3]</w:t>
      </w:r>
      <w:r>
        <w:rPr>
          <w:rFonts w:hint="eastAsia" w:ascii="宋体" w:hAnsi="宋体" w:eastAsia="宋体" w:cs="宋体"/>
          <w:sz w:val="21"/>
          <w:szCs w:val="21"/>
        </w:rPr>
        <w:t>。</w:t>
      </w:r>
    </w:p>
    <w:p w14:paraId="2A7C4E66">
      <w:pPr>
        <w:pStyle w:val="4"/>
        <w:rPr>
          <w:rFonts w:hint="eastAsia" w:ascii="宋体" w:hAnsi="宋体" w:eastAsia="宋体" w:cs="宋体"/>
          <w:sz w:val="21"/>
          <w:szCs w:val="21"/>
        </w:rPr>
      </w:pPr>
      <w:r>
        <w:rPr>
          <w:rFonts w:hint="eastAsia" w:ascii="宋体" w:hAnsi="宋体" w:eastAsia="宋体" w:cs="宋体"/>
          <w:sz w:val="21"/>
          <w:szCs w:val="21"/>
        </w:rPr>
        <w:t>一方面，通用大模型缺乏地方性政务规范的专业语料训练，面对“商改住”、“公服减量”等诉求时，无法准确映射到地方特定的审查红线（如成都市《关于加强和规范详细规划管理工作的通知》</w:t>
      </w:r>
      <w:r>
        <w:rPr>
          <w:rFonts w:hint="eastAsia" w:ascii="宋体" w:hAnsi="宋体" w:cs="宋体"/>
          <w:sz w:val="21"/>
          <w:szCs w:val="21"/>
          <w:vertAlign w:val="superscript"/>
          <w:lang w:val="en-US" w:eastAsia="zh-CN"/>
        </w:rPr>
        <w:t>[4]</w:t>
      </w:r>
      <w:r>
        <w:rPr>
          <w:rFonts w:hint="eastAsia" w:ascii="宋体" w:hAnsi="宋体" w:eastAsia="宋体" w:cs="宋体"/>
          <w:sz w:val="21"/>
          <w:szCs w:val="21"/>
        </w:rPr>
        <w:t>等），极易产生脱离实际的逻辑“幻觉”（Hallucination）</w:t>
      </w:r>
      <w:r>
        <w:rPr>
          <w:rFonts w:hint="eastAsia" w:ascii="宋体" w:hAnsi="宋体" w:cs="宋体"/>
          <w:sz w:val="21"/>
          <w:szCs w:val="21"/>
          <w:vertAlign w:val="superscript"/>
          <w:lang w:val="en-US" w:eastAsia="zh-CN"/>
        </w:rPr>
        <w:t>[5]</w:t>
      </w:r>
      <w:r>
        <w:rPr>
          <w:rFonts w:hint="eastAsia" w:ascii="宋体" w:hAnsi="宋体" w:eastAsia="宋体" w:cs="宋体"/>
          <w:sz w:val="21"/>
          <w:szCs w:val="21"/>
        </w:rPr>
        <w:t>。另一方面，传统的零样本（Zero-shot）直接问答模式无法有效处理超长篇幅的规划图文报告，且难以给出具有官方公文语调的、结构化的《技术审查意见》。因此，如何将晦涩、分散的地方性政务规则注入大模型，并构建符合实际审查业务流的智能系统，成为了当前工程界与学术界亟待解决的难题。</w:t>
      </w:r>
    </w:p>
    <w:p w14:paraId="4B0B9A61">
      <w:pPr>
        <w:pStyle w:val="3"/>
        <w:numPr>
          <w:ilvl w:val="0"/>
          <w:numId w:val="1"/>
        </w:numPr>
        <w:ind w:left="0" w:leftChars="0" w:firstLine="0" w:firstLineChars="0"/>
        <w:rPr>
          <w:rFonts w:hint="eastAsia" w:ascii="宋体" w:hAnsi="宋体" w:eastAsia="宋体" w:cs="宋体"/>
          <w:sz w:val="21"/>
          <w:szCs w:val="21"/>
        </w:rPr>
      </w:pPr>
      <w:r>
        <w:rPr>
          <w:rFonts w:hint="eastAsia" w:ascii="宋体" w:hAnsi="宋体" w:eastAsia="宋体" w:cs="宋体"/>
          <w:sz w:val="21"/>
          <w:szCs w:val="21"/>
        </w:rPr>
        <w:t>本文的主要工作与贡献</w:t>
      </w:r>
    </w:p>
    <w:p w14:paraId="665BE04C">
      <w:pPr>
        <w:pStyle w:val="4"/>
        <w:rPr>
          <w:rFonts w:hint="eastAsia" w:ascii="宋体" w:hAnsi="宋体" w:eastAsia="宋体" w:cs="宋体"/>
          <w:sz w:val="21"/>
          <w:szCs w:val="21"/>
        </w:rPr>
      </w:pPr>
      <w:r>
        <w:rPr>
          <w:rFonts w:hint="eastAsia" w:ascii="宋体" w:hAnsi="宋体" w:eastAsia="宋体" w:cs="宋体"/>
          <w:sz w:val="21"/>
          <w:szCs w:val="21"/>
        </w:rPr>
        <w:t>针对上述痛点与技术瓶颈，本文提出了一种基于检索增强生成（Retrieval-Augmented Generation, RAG）与多智能体（Multi-Agent）协同工作流的城市规划智能审查辅助框架。本文的主要贡献如下：</w:t>
      </w:r>
    </w:p>
    <w:p w14:paraId="47089F0E">
      <w:pPr>
        <w:pStyle w:val="4"/>
        <w:numPr>
          <w:ilvl w:val="0"/>
          <w:numId w:val="2"/>
        </w:numPr>
        <w:ind w:left="0" w:leftChars="0" w:firstLine="480" w:firstLineChars="0"/>
        <w:rPr>
          <w:rFonts w:hint="eastAsia" w:ascii="宋体" w:hAnsi="宋体" w:eastAsia="宋体" w:cs="宋体"/>
          <w:b w:val="0"/>
          <w:sz w:val="21"/>
          <w:szCs w:val="21"/>
        </w:rPr>
      </w:pPr>
      <w:r>
        <w:rPr>
          <w:rFonts w:hint="eastAsia" w:ascii="宋体" w:hAnsi="宋体" w:eastAsia="宋体" w:cs="宋体"/>
          <w:sz w:val="21"/>
          <w:szCs w:val="21"/>
        </w:rPr>
        <w:t>构建了高质量的本土化政务审查知识库：依托成都市 40 余宗真实的控规局部调整案卷，深度清洗并解构了包含“核心调整诉求”与“官方审查意见”的垂直领域数据集，将隐性专家经验转化为机器可读的高信噪比向量库。</w:t>
      </w:r>
    </w:p>
    <w:p w14:paraId="4B7DDF7C">
      <w:pPr>
        <w:pStyle w:val="4"/>
        <w:numPr>
          <w:ilvl w:val="0"/>
          <w:numId w:val="2"/>
        </w:numPr>
        <w:ind w:left="0" w:leftChars="0" w:firstLine="480" w:firstLineChars="0"/>
        <w:rPr>
          <w:rFonts w:hint="eastAsia" w:ascii="宋体" w:hAnsi="宋体" w:eastAsia="宋体" w:cs="宋体"/>
          <w:b w:val="0"/>
          <w:sz w:val="21"/>
          <w:szCs w:val="21"/>
        </w:rPr>
      </w:pPr>
      <w:r>
        <w:rPr>
          <w:rFonts w:hint="eastAsia" w:ascii="宋体" w:hAnsi="宋体" w:eastAsia="宋体" w:cs="宋体"/>
          <w:sz w:val="21"/>
          <w:szCs w:val="21"/>
        </w:rPr>
        <w:t>设计了模拟真实审查业务流的 Agent 架构：提出了一种“分块扫描-知识检索-综合生成”的多智能体协同机制。有效突破了超长 PDF 报告的解析瓶颈，并利用 RAG 技术精准召回历史审查红线，从根本上抑制了大模型的政务规则幻觉。</w:t>
      </w:r>
    </w:p>
    <w:p w14:paraId="5B302272">
      <w:pPr>
        <w:pStyle w:val="4"/>
        <w:numPr>
          <w:ilvl w:val="0"/>
          <w:numId w:val="2"/>
        </w:numPr>
        <w:ind w:left="0" w:leftChars="0" w:firstLine="480" w:firstLineChars="0"/>
        <w:rPr>
          <w:rFonts w:hint="eastAsia" w:ascii="宋体" w:hAnsi="宋体" w:eastAsia="宋体" w:cs="宋体"/>
          <w:sz w:val="21"/>
          <w:szCs w:val="21"/>
        </w:rPr>
      </w:pPr>
      <w:r>
        <w:rPr>
          <w:rFonts w:hint="eastAsia" w:ascii="宋体" w:hAnsi="宋体" w:eastAsia="宋体" w:cs="宋体"/>
          <w:sz w:val="21"/>
          <w:szCs w:val="21"/>
        </w:rPr>
        <w:t>实现了审查效能的指数级跃升：实验证明，该系统能够以极高的准确率识别涉轨、涉军、土壤污染调查、配套缺口等复杂审查意见，将单宗复杂案卷的基础审查时间由传统的小时级大幅压缩至秒级，并能自动输出规范的官方技术审查公文。</w:t>
      </w:r>
    </w:p>
    <w:p w14:paraId="79A67A84">
      <w:pPr>
        <w:pStyle w:val="2"/>
        <w:rPr>
          <w:rFonts w:hint="eastAsia" w:ascii="宋体" w:hAnsi="宋体" w:eastAsia="宋体" w:cs="宋体"/>
          <w:sz w:val="21"/>
          <w:szCs w:val="21"/>
        </w:rPr>
      </w:pPr>
      <w:r>
        <w:rPr>
          <w:rFonts w:hint="eastAsia" w:ascii="宋体" w:hAnsi="宋体" w:eastAsia="宋体" w:cs="宋体"/>
          <w:sz w:val="21"/>
          <w:szCs w:val="21"/>
        </w:rPr>
        <w:t>第二章 面向控规审查的本土化政务知识库构建</w:t>
      </w:r>
    </w:p>
    <w:p w14:paraId="5A0485D0">
      <w:pPr>
        <w:pStyle w:val="3"/>
        <w:rPr>
          <w:rFonts w:hint="eastAsia" w:ascii="宋体" w:hAnsi="宋体" w:eastAsia="宋体" w:cs="宋体"/>
          <w:sz w:val="21"/>
          <w:szCs w:val="21"/>
        </w:rPr>
      </w:pPr>
      <w:r>
        <w:rPr>
          <w:rFonts w:hint="eastAsia" w:ascii="宋体" w:hAnsi="宋体" w:eastAsia="宋体" w:cs="宋体"/>
          <w:sz w:val="21"/>
          <w:szCs w:val="21"/>
        </w:rPr>
        <w:t>2.1 垂直领域数据集构建的必要性</w:t>
      </w:r>
    </w:p>
    <w:p w14:paraId="191F8A4C">
      <w:pPr>
        <w:pStyle w:val="4"/>
        <w:rPr>
          <w:rFonts w:hint="eastAsia" w:ascii="宋体" w:hAnsi="宋体" w:eastAsia="宋体" w:cs="宋体"/>
          <w:sz w:val="21"/>
          <w:szCs w:val="21"/>
        </w:rPr>
      </w:pPr>
      <w:r>
        <w:rPr>
          <w:rFonts w:hint="eastAsia" w:ascii="宋体" w:hAnsi="宋体" w:eastAsia="宋体" w:cs="宋体"/>
          <w:sz w:val="21"/>
          <w:szCs w:val="21"/>
        </w:rPr>
        <w:t>在大语言模型（LLM）的实际工程落地中，通用语料库往往缺乏对特定行政区域、特定行业标准（Domain-specific Standards）的深度覆盖。城市控制性详细规划（简称“控规”）的调整审查，具有极强的“属地化”特征。以成都市为例，其审查逻辑不仅受国家《城乡规划法》约束，更深度融合了《控规方案涉及征求市级部门意见对应清单》</w:t>
      </w:r>
      <w:r>
        <w:rPr>
          <w:rFonts w:hint="eastAsia" w:ascii="宋体" w:hAnsi="宋体" w:cs="宋体"/>
          <w:sz w:val="21"/>
          <w:szCs w:val="21"/>
          <w:lang w:eastAsia="zh-CN"/>
        </w:rPr>
        <w:t>、</w:t>
      </w:r>
      <w:r>
        <w:rPr>
          <w:rFonts w:hint="eastAsia" w:ascii="宋体" w:hAnsi="宋体" w:eastAsia="宋体" w:cs="宋体"/>
          <w:sz w:val="21"/>
          <w:szCs w:val="21"/>
        </w:rPr>
        <w:t>《成都市“</w:t>
      </w:r>
      <w:bookmarkStart w:id="1" w:name="_GoBack"/>
      <w:r>
        <w:rPr>
          <w:rFonts w:hint="eastAsia" w:ascii="宋体" w:hAnsi="宋体" w:eastAsia="宋体" w:cs="宋体"/>
          <w:sz w:val="21"/>
          <w:szCs w:val="21"/>
        </w:rPr>
        <w:t>小街区</w:t>
      </w:r>
      <w:bookmarkEnd w:id="1"/>
      <w:r>
        <w:rPr>
          <w:rFonts w:hint="eastAsia" w:ascii="宋体" w:hAnsi="宋体" w:eastAsia="宋体" w:cs="宋体"/>
          <w:sz w:val="21"/>
          <w:szCs w:val="21"/>
        </w:rPr>
        <w:t>规制”规划管理技术规定》、等本土刚性政务文件。直接将未经处理的规划调整方案输入通用大模型，极易导致模型输出泛泛而谈的“套话”，甚至在容积率测算、公配补划、管线退让等核心指标上产生严重的逻辑幻觉（Hallucination）。因此，构建一个高信噪比、结构化的本土化政务审查知识库，是实现大模型在规划审查场景精准落地的核心前提。</w:t>
      </w:r>
    </w:p>
    <w:p w14:paraId="0B124ACA">
      <w:pPr>
        <w:pStyle w:val="3"/>
        <w:bidi w:val="0"/>
        <w:rPr>
          <w:rFonts w:hint="eastAsia"/>
        </w:rPr>
      </w:pPr>
      <w:r>
        <w:rPr>
          <w:rFonts w:hint="eastAsia"/>
        </w:rPr>
        <w:t>2.2 数据来源与高信噪比解构</w:t>
      </w:r>
    </w:p>
    <w:p w14:paraId="6E3832A7">
      <w:pPr>
        <w:pStyle w:val="4"/>
        <w:rPr>
          <w:rFonts w:hint="eastAsia" w:ascii="宋体" w:hAnsi="宋体" w:cs="宋体"/>
          <w:sz w:val="21"/>
          <w:szCs w:val="21"/>
          <w:lang w:eastAsia="zh-CN"/>
        </w:rPr>
      </w:pPr>
      <w:r>
        <w:rPr>
          <w:rFonts w:hint="eastAsia" w:ascii="宋体" w:hAnsi="宋体" w:eastAsia="宋体" w:cs="宋体"/>
          <w:sz w:val="21"/>
          <w:szCs w:val="21"/>
        </w:rPr>
        <w:t>本研究的底层原始数据来源于成都市区（涵盖新都区、温江区、成华区、武侯区等）近年来的 40 余宗真实的控规局部调整案卷及</w:t>
      </w:r>
      <w:r>
        <w:rPr>
          <w:rFonts w:hint="eastAsia" w:ascii="宋体" w:hAnsi="宋体" w:cs="宋体"/>
          <w:sz w:val="21"/>
          <w:szCs w:val="21"/>
          <w:lang w:val="en-US" w:eastAsia="zh-CN"/>
        </w:rPr>
        <w:t>第三方</w:t>
      </w:r>
      <w:r>
        <w:rPr>
          <w:rFonts w:hint="eastAsia" w:ascii="宋体" w:hAnsi="宋体" w:eastAsia="宋体" w:cs="宋体"/>
          <w:sz w:val="21"/>
          <w:szCs w:val="21"/>
        </w:rPr>
        <w:t>技术审查意见。原始论证报告多为数十乃至上百页的非结构化 PDF 文本</w:t>
      </w:r>
      <w:r>
        <w:rPr>
          <w:rFonts w:hint="eastAsia" w:ascii="宋体" w:hAnsi="宋体" w:cs="宋体"/>
          <w:sz w:val="21"/>
          <w:szCs w:val="21"/>
          <w:lang w:eastAsia="zh-CN"/>
        </w:rPr>
        <w:t>（</w:t>
      </w:r>
      <w:r>
        <w:rPr>
          <w:rFonts w:hint="eastAsia" w:ascii="宋体" w:hAnsi="宋体" w:cs="宋体"/>
          <w:sz w:val="21"/>
          <w:szCs w:val="21"/>
          <w:lang w:val="en-US" w:eastAsia="zh-CN"/>
        </w:rPr>
        <w:t>图1</w:t>
      </w:r>
      <w:r>
        <w:rPr>
          <w:rFonts w:hint="eastAsia" w:ascii="宋体" w:hAnsi="宋体" w:cs="宋体"/>
          <w:sz w:val="21"/>
          <w:szCs w:val="21"/>
          <w:lang w:eastAsia="zh-CN"/>
        </w:rPr>
        <w:t>）</w:t>
      </w:r>
      <w:r>
        <w:rPr>
          <w:rFonts w:hint="eastAsia" w:ascii="宋体" w:hAnsi="宋体" w:eastAsia="宋体" w:cs="宋体"/>
          <w:sz w:val="21"/>
          <w:szCs w:val="21"/>
        </w:rPr>
        <w:t>，其中充斥着大量背景介绍、现状描述等冗余信息（低信噪比文本）。</w:t>
      </w:r>
    </w:p>
    <w:p w14:paraId="7A4EA412">
      <w:pPr>
        <w:pStyle w:val="4"/>
        <w:ind w:left="0" w:leftChars="0" w:firstLine="0" w:firstLineChars="0"/>
        <w:jc w:val="center"/>
      </w:pPr>
      <w:r>
        <w:drawing>
          <wp:inline distT="0" distB="0" distL="114300" distR="114300">
            <wp:extent cx="2291715" cy="1678305"/>
            <wp:effectExtent l="0" t="0" r="13335" b="171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2291715" cy="1678305"/>
                    </a:xfrm>
                    <a:prstGeom prst="rect">
                      <a:avLst/>
                    </a:prstGeom>
                    <a:noFill/>
                    <a:ln>
                      <a:noFill/>
                    </a:ln>
                  </pic:spPr>
                </pic:pic>
              </a:graphicData>
            </a:graphic>
          </wp:inline>
        </w:drawing>
      </w:r>
      <w:r>
        <w:drawing>
          <wp:inline distT="0" distB="0" distL="114300" distR="114300">
            <wp:extent cx="2312670" cy="1624965"/>
            <wp:effectExtent l="0" t="0" r="11430" b="133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2312670" cy="1624965"/>
                    </a:xfrm>
                    <a:prstGeom prst="rect">
                      <a:avLst/>
                    </a:prstGeom>
                    <a:noFill/>
                    <a:ln>
                      <a:noFill/>
                    </a:ln>
                  </pic:spPr>
                </pic:pic>
              </a:graphicData>
            </a:graphic>
          </wp:inline>
        </w:drawing>
      </w:r>
    </w:p>
    <w:p w14:paraId="0F99D559">
      <w:pPr>
        <w:pStyle w:val="4"/>
        <w:ind w:left="0" w:leftChars="0" w:firstLine="0" w:firstLineChars="0"/>
        <w:jc w:val="center"/>
        <w:rPr>
          <w:rFonts w:hint="eastAsia"/>
          <w:sz w:val="15"/>
          <w:szCs w:val="15"/>
          <w:lang w:val="en-US" w:eastAsia="zh-CN"/>
        </w:rPr>
      </w:pPr>
      <w:r>
        <w:drawing>
          <wp:inline distT="0" distB="0" distL="114300" distR="114300">
            <wp:extent cx="2340610" cy="1759585"/>
            <wp:effectExtent l="0" t="0" r="2540" b="1206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6"/>
                    <a:stretch>
                      <a:fillRect/>
                    </a:stretch>
                  </pic:blipFill>
                  <pic:spPr>
                    <a:xfrm>
                      <a:off x="0" y="0"/>
                      <a:ext cx="2340610" cy="1759585"/>
                    </a:xfrm>
                    <a:prstGeom prst="rect">
                      <a:avLst/>
                    </a:prstGeom>
                    <a:noFill/>
                    <a:ln>
                      <a:noFill/>
                    </a:ln>
                  </pic:spPr>
                </pic:pic>
              </a:graphicData>
            </a:graphic>
          </wp:inline>
        </w:drawing>
      </w:r>
      <w:r>
        <w:drawing>
          <wp:inline distT="0" distB="0" distL="114300" distR="114300">
            <wp:extent cx="2317115" cy="1736725"/>
            <wp:effectExtent l="0" t="0" r="6985" b="1587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7"/>
                    <a:stretch>
                      <a:fillRect/>
                    </a:stretch>
                  </pic:blipFill>
                  <pic:spPr>
                    <a:xfrm>
                      <a:off x="0" y="0"/>
                      <a:ext cx="2317115" cy="1736725"/>
                    </a:xfrm>
                    <a:prstGeom prst="rect">
                      <a:avLst/>
                    </a:prstGeom>
                    <a:noFill/>
                    <a:ln>
                      <a:noFill/>
                    </a:ln>
                  </pic:spPr>
                </pic:pic>
              </a:graphicData>
            </a:graphic>
          </wp:inline>
        </w:drawing>
      </w:r>
    </w:p>
    <w:p w14:paraId="148C91B2">
      <w:pPr>
        <w:pStyle w:val="4"/>
        <w:jc w:val="center"/>
        <w:rPr>
          <w:rFonts w:hint="eastAsia"/>
          <w:sz w:val="15"/>
          <w:szCs w:val="15"/>
          <w:lang w:val="en-US" w:eastAsia="zh-CN"/>
        </w:rPr>
      </w:pPr>
      <w:r>
        <w:rPr>
          <w:rFonts w:hint="eastAsia"/>
          <w:sz w:val="15"/>
          <w:szCs w:val="15"/>
          <w:lang w:val="en-US" w:eastAsia="zh-CN"/>
        </w:rPr>
        <w:t>图1  成都市高新区详细规划单元局部调整方案</w:t>
      </w:r>
    </w:p>
    <w:p w14:paraId="3E91D9A7">
      <w:pPr>
        <w:pStyle w:val="4"/>
        <w:jc w:val="center"/>
        <w:rPr>
          <w:rFonts w:hint="default"/>
          <w:sz w:val="15"/>
          <w:szCs w:val="15"/>
          <w:lang w:val="en-US" w:eastAsia="zh-CN"/>
        </w:rPr>
      </w:pPr>
      <w:r>
        <w:drawing>
          <wp:inline distT="0" distB="0" distL="114300" distR="114300">
            <wp:extent cx="2348865" cy="3286760"/>
            <wp:effectExtent l="0" t="0" r="1333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2348865" cy="3286760"/>
                    </a:xfrm>
                    <a:prstGeom prst="rect">
                      <a:avLst/>
                    </a:prstGeom>
                    <a:noFill/>
                    <a:ln>
                      <a:noFill/>
                    </a:ln>
                  </pic:spPr>
                </pic:pic>
              </a:graphicData>
            </a:graphic>
          </wp:inline>
        </w:drawing>
      </w:r>
      <w:r>
        <w:drawing>
          <wp:inline distT="0" distB="0" distL="114300" distR="114300">
            <wp:extent cx="2315845" cy="3288665"/>
            <wp:effectExtent l="0" t="0" r="8255"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2315845" cy="3288665"/>
                    </a:xfrm>
                    <a:prstGeom prst="rect">
                      <a:avLst/>
                    </a:prstGeom>
                    <a:noFill/>
                    <a:ln>
                      <a:noFill/>
                    </a:ln>
                  </pic:spPr>
                </pic:pic>
              </a:graphicData>
            </a:graphic>
          </wp:inline>
        </w:drawing>
      </w:r>
    </w:p>
    <w:p w14:paraId="282F9759">
      <w:pPr>
        <w:pStyle w:val="4"/>
        <w:jc w:val="center"/>
        <w:rPr>
          <w:rFonts w:hint="eastAsia" w:ascii="宋体" w:hAnsi="宋体" w:eastAsia="宋体" w:cs="宋体"/>
          <w:sz w:val="21"/>
          <w:szCs w:val="21"/>
        </w:rPr>
      </w:pPr>
      <w:r>
        <w:rPr>
          <w:rFonts w:hint="eastAsia"/>
          <w:sz w:val="15"/>
          <w:szCs w:val="15"/>
          <w:lang w:val="en-US" w:eastAsia="zh-CN"/>
        </w:rPr>
        <w:t>图2 成都市高新区详细规划单元局部调整技术审查意见</w:t>
      </w:r>
    </w:p>
    <w:p w14:paraId="3159A071">
      <w:pPr>
        <w:pStyle w:val="4"/>
        <w:rPr>
          <w:rFonts w:hint="eastAsia" w:ascii="宋体" w:hAnsi="宋体" w:eastAsia="宋体" w:cs="宋体"/>
          <w:sz w:val="21"/>
          <w:szCs w:val="21"/>
        </w:rPr>
      </w:pPr>
      <w:r>
        <w:rPr>
          <w:rFonts w:hint="eastAsia" w:ascii="宋体" w:hAnsi="宋体" w:eastAsia="宋体" w:cs="宋体"/>
          <w:sz w:val="21"/>
          <w:szCs w:val="21"/>
        </w:rPr>
        <w:t>为使 LLM 和检索增强生成（RAG）系统能够精准锚定审查逻辑，本研究对原始案卷进行了深度的人工清洗与结构化解构。采用 &lt;核心诉求 (Input X), 审查意见 (Output Y), 核心审查意见标签 (Label Z)&gt;的三元组范式，对非结构化文本进行剥离。例如，将冗长的方案文本提炼为“拟调减商业服务业用地，增加二类城镇住宅用地（商改住）”的核心诉求，并将其严格对齐至技术审查意见中“需补充商业用地调减必要性分析及人口需求测算”的官方标准，从而剥离出纯粹的“政务审查业务逻辑”</w:t>
      </w:r>
      <w:r>
        <w:rPr>
          <w:rFonts w:hint="eastAsia" w:ascii="宋体" w:hAnsi="宋体" w:cs="宋体"/>
          <w:sz w:val="21"/>
          <w:szCs w:val="21"/>
          <w:lang w:eastAsia="zh-CN"/>
        </w:rPr>
        <w:t>（</w:t>
      </w:r>
      <w:r>
        <w:rPr>
          <w:rFonts w:hint="eastAsia" w:ascii="宋体" w:hAnsi="宋体" w:cs="宋体"/>
          <w:sz w:val="21"/>
          <w:szCs w:val="21"/>
          <w:lang w:val="en-US" w:eastAsia="zh-CN"/>
        </w:rPr>
        <w:t>表1</w:t>
      </w:r>
      <w:r>
        <w:rPr>
          <w:rFonts w:hint="eastAsia" w:ascii="宋体" w:hAnsi="宋体" w:cs="宋体"/>
          <w:sz w:val="21"/>
          <w:szCs w:val="21"/>
          <w:lang w:eastAsia="zh-CN"/>
        </w:rPr>
        <w:t>）</w:t>
      </w:r>
      <w:r>
        <w:rPr>
          <w:rFonts w:hint="eastAsia" w:ascii="宋体" w:hAnsi="宋体" w:eastAsia="宋体" w:cs="宋体"/>
          <w:sz w:val="21"/>
          <w:szCs w:val="21"/>
        </w:rPr>
        <w:t>。</w:t>
      </w:r>
    </w:p>
    <w:p w14:paraId="5085D193">
      <w:pPr>
        <w:pStyle w:val="4"/>
        <w:ind w:left="0" w:leftChars="0" w:firstLine="0" w:firstLineChars="0"/>
        <w:rPr>
          <w:rFonts w:hint="eastAsia" w:ascii="宋体" w:hAnsi="宋体" w:eastAsia="宋体" w:cs="宋体"/>
          <w:sz w:val="21"/>
          <w:szCs w:val="21"/>
        </w:rPr>
      </w:pPr>
    </w:p>
    <w:p w14:paraId="34845DE9">
      <w:pPr>
        <w:pStyle w:val="4"/>
        <w:ind w:left="0" w:leftChars="0" w:firstLine="0" w:firstLineChars="0"/>
        <w:rPr>
          <w:rFonts w:hint="eastAsia" w:ascii="宋体" w:hAnsi="宋体" w:eastAsia="宋体" w:cs="宋体"/>
          <w:sz w:val="21"/>
          <w:szCs w:val="21"/>
        </w:rPr>
      </w:pPr>
      <w:r>
        <w:drawing>
          <wp:inline distT="0" distB="0" distL="114300" distR="114300">
            <wp:extent cx="5567680" cy="1029335"/>
            <wp:effectExtent l="0" t="0" r="13970" b="184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567680" cy="1029335"/>
                    </a:xfrm>
                    <a:prstGeom prst="rect">
                      <a:avLst/>
                    </a:prstGeom>
                    <a:noFill/>
                    <a:ln>
                      <a:noFill/>
                    </a:ln>
                  </pic:spPr>
                </pic:pic>
              </a:graphicData>
            </a:graphic>
          </wp:inline>
        </w:drawing>
      </w:r>
    </w:p>
    <w:p w14:paraId="265D1E2C">
      <w:pPr>
        <w:pStyle w:val="4"/>
        <w:jc w:val="center"/>
        <w:rPr>
          <w:rFonts w:hint="default"/>
          <w:sz w:val="15"/>
          <w:szCs w:val="15"/>
          <w:lang w:val="en-US" w:eastAsia="zh-CN"/>
        </w:rPr>
      </w:pPr>
      <w:r>
        <w:rPr>
          <w:rFonts w:hint="eastAsia"/>
          <w:sz w:val="15"/>
          <w:szCs w:val="15"/>
          <w:lang w:val="en-US" w:eastAsia="zh-CN"/>
        </w:rPr>
        <w:t>表1  成都市技术审查意见数据清理（部分数据）</w:t>
      </w:r>
    </w:p>
    <w:p w14:paraId="39CD9385">
      <w:pPr>
        <w:rPr>
          <w:rFonts w:hint="eastAsia" w:ascii="宋体" w:hAnsi="宋体" w:eastAsia="宋体" w:cs="宋体"/>
          <w:sz w:val="21"/>
          <w:szCs w:val="21"/>
        </w:rPr>
      </w:pPr>
    </w:p>
    <w:p w14:paraId="611BAB7D">
      <w:pPr>
        <w:pStyle w:val="3"/>
        <w:rPr>
          <w:rFonts w:hint="eastAsia" w:ascii="宋体" w:hAnsi="宋体" w:eastAsia="宋体" w:cs="宋体"/>
          <w:sz w:val="21"/>
          <w:szCs w:val="21"/>
        </w:rPr>
      </w:pPr>
      <w:r>
        <w:rPr>
          <w:rFonts w:hint="eastAsia" w:ascii="宋体" w:hAnsi="宋体" w:eastAsia="宋体" w:cs="宋体"/>
          <w:sz w:val="21"/>
          <w:szCs w:val="21"/>
        </w:rPr>
        <w:t xml:space="preserve"> 2.3 本土化审查规则的知识分类与典型特征</w:t>
      </w:r>
    </w:p>
    <w:p w14:paraId="0F0A9B5D">
      <w:pPr>
        <w:pStyle w:val="4"/>
        <w:rPr>
          <w:rFonts w:hint="eastAsia" w:ascii="宋体" w:hAnsi="宋体" w:eastAsia="宋体" w:cs="宋体"/>
          <w:sz w:val="21"/>
          <w:szCs w:val="21"/>
        </w:rPr>
      </w:pPr>
      <w:r>
        <w:rPr>
          <w:rFonts w:hint="eastAsia" w:ascii="宋体" w:hAnsi="宋体" w:eastAsia="宋体" w:cs="宋体"/>
          <w:sz w:val="21"/>
          <w:szCs w:val="21"/>
        </w:rPr>
        <w:t>通过对 40 余宗典型案卷的深度解构，本研究提炼出成都市控规调整审查中的三大类核心触发规则，为后续多智能体（Multi-Agent）系统的逻辑判断提供了事实基准（Ground Truth）：</w:t>
      </w:r>
    </w:p>
    <w:p w14:paraId="62A8D86A">
      <w:pPr>
        <w:rPr>
          <w:rFonts w:hint="eastAsia" w:ascii="宋体" w:hAnsi="宋体" w:eastAsia="宋体" w:cs="宋体"/>
          <w:sz w:val="21"/>
          <w:szCs w:val="21"/>
        </w:rPr>
      </w:pPr>
    </w:p>
    <w:p w14:paraId="6B589922">
      <w:pPr>
        <w:pStyle w:val="5"/>
        <w:rPr>
          <w:rFonts w:hint="eastAsia" w:ascii="宋体" w:hAnsi="宋体" w:eastAsia="宋体" w:cs="宋体"/>
          <w:sz w:val="21"/>
          <w:szCs w:val="21"/>
          <w:lang w:eastAsia="zh-CN"/>
        </w:rPr>
      </w:pPr>
      <w:r>
        <w:rPr>
          <w:rFonts w:hint="eastAsia" w:ascii="宋体" w:hAnsi="宋体" w:eastAsia="宋体" w:cs="宋体"/>
          <w:sz w:val="21"/>
          <w:szCs w:val="21"/>
        </w:rPr>
        <w:t>（1）空间拓扑与邻避冲突规则（Spatial Topology Constraints）</w:t>
      </w:r>
    </w:p>
    <w:p w14:paraId="57438979">
      <w:pPr>
        <w:pStyle w:val="4"/>
        <w:rPr>
          <w:rFonts w:hint="eastAsia" w:ascii="宋体" w:hAnsi="宋体" w:eastAsia="宋体" w:cs="宋体"/>
          <w:sz w:val="21"/>
          <w:szCs w:val="21"/>
        </w:rPr>
      </w:pPr>
      <w:r>
        <w:rPr>
          <w:rFonts w:hint="eastAsia" w:ascii="宋体" w:hAnsi="宋体" w:eastAsia="宋体" w:cs="宋体"/>
          <w:sz w:val="21"/>
          <w:szCs w:val="21"/>
        </w:rPr>
        <w:t>在城市高密度开发背景下，用地的物理空间落位往往受到周边重大市政设施的严格约束。本知识库提取了多项高频空间审查意见：例如，“涉轨审查”规则要求所有涉及地铁出入口及保护区的地下空间互联互通方案，必须具备轨道集团的书面会签，并进行“净地交付前置实测”；“邻避设施退让”规则要求新建住宅及公服设施必须满足对 110kV/500kV 变电站高压走廊、大型雨污水干管（如 DN1000 级别）的安全退让距离与进出线空间研判。</w:t>
      </w:r>
    </w:p>
    <w:p w14:paraId="0B418DE5">
      <w:pPr>
        <w:pStyle w:val="5"/>
        <w:rPr>
          <w:rFonts w:hint="eastAsia" w:ascii="宋体" w:hAnsi="宋体" w:eastAsia="宋体" w:cs="宋体"/>
          <w:sz w:val="21"/>
          <w:szCs w:val="21"/>
          <w:lang w:eastAsia="zh-CN"/>
        </w:rPr>
      </w:pPr>
      <w:r>
        <w:rPr>
          <w:rFonts w:hint="eastAsia" w:ascii="宋体" w:hAnsi="宋体" w:eastAsia="宋体" w:cs="宋体"/>
          <w:sz w:val="21"/>
          <w:szCs w:val="21"/>
        </w:rPr>
        <w:t>（2）指标联动与底线约束规则（Indicator Linkage &amp; Baselines）</w:t>
      </w:r>
    </w:p>
    <w:p w14:paraId="31E0E69A">
      <w:pPr>
        <w:pStyle w:val="4"/>
        <w:rPr>
          <w:rFonts w:hint="eastAsia" w:ascii="宋体" w:hAnsi="宋体" w:eastAsia="宋体" w:cs="宋体"/>
          <w:sz w:val="21"/>
          <w:szCs w:val="21"/>
        </w:rPr>
      </w:pPr>
      <w:r>
        <w:rPr>
          <w:rFonts w:hint="eastAsia" w:ascii="宋体" w:hAnsi="宋体" w:eastAsia="宋体" w:cs="宋体"/>
          <w:sz w:val="21"/>
          <w:szCs w:val="21"/>
        </w:rPr>
        <w:t>该类规则是抑制大模型数值计算幻觉的关键。系统知识库内嵌了成都市极其严格的指标联动红线：</w:t>
      </w:r>
    </w:p>
    <w:p w14:paraId="531BAF4F">
      <w:pPr>
        <w:pStyle w:val="4"/>
        <w:numPr>
          <w:ilvl w:val="0"/>
          <w:numId w:val="3"/>
        </w:numPr>
        <w:ind w:left="845" w:leftChars="0" w:hanging="425" w:firstLineChars="0"/>
        <w:rPr>
          <w:rFonts w:hint="eastAsia" w:ascii="宋体" w:hAnsi="宋体" w:eastAsia="宋体" w:cs="宋体"/>
          <w:sz w:val="21"/>
          <w:szCs w:val="21"/>
        </w:rPr>
      </w:pPr>
      <w:r>
        <w:rPr>
          <w:rFonts w:hint="eastAsia" w:ascii="宋体" w:hAnsi="宋体" w:eastAsia="宋体" w:cs="宋体"/>
          <w:sz w:val="21"/>
          <w:szCs w:val="21"/>
        </w:rPr>
        <w:t>公配补划红线： 针对任何涉及增加居住人口规模或开发用地建筑规模的地块，强制触发“必须划出不小于建设用地总调整面积 20% 作为公共配套（或等量叠建）”的算力核对机制。</w:t>
      </w:r>
    </w:p>
    <w:p w14:paraId="5780388F">
      <w:pPr>
        <w:pStyle w:val="4"/>
        <w:numPr>
          <w:ilvl w:val="0"/>
          <w:numId w:val="3"/>
        </w:numPr>
        <w:ind w:left="845" w:leftChars="0" w:hanging="425" w:firstLineChars="0"/>
        <w:rPr>
          <w:rFonts w:hint="eastAsia" w:ascii="宋体" w:hAnsi="宋体" w:eastAsia="宋体" w:cs="宋体"/>
          <w:sz w:val="21"/>
          <w:szCs w:val="21"/>
        </w:rPr>
      </w:pPr>
      <w:r>
        <w:rPr>
          <w:rFonts w:hint="eastAsia" w:ascii="宋体" w:hAnsi="宋体" w:eastAsia="宋体" w:cs="宋体"/>
          <w:sz w:val="21"/>
          <w:szCs w:val="21"/>
        </w:rPr>
        <w:t>公服能力不降低： 针对学校、医院等公服设施用地的调减诉求，严格执行总规第 146 条规定，强制核查“学位缺口倒挂”问题，要求提供属地教育/卫生部门的服务能力不降低证明。</w:t>
      </w:r>
    </w:p>
    <w:p w14:paraId="2DA1E0E9">
      <w:pPr>
        <w:pStyle w:val="4"/>
        <w:numPr>
          <w:ilvl w:val="0"/>
          <w:numId w:val="3"/>
        </w:numPr>
        <w:ind w:left="845" w:leftChars="0" w:hanging="425" w:firstLineChars="0"/>
        <w:rPr>
          <w:rFonts w:hint="eastAsia" w:ascii="宋体" w:hAnsi="宋体" w:eastAsia="宋体" w:cs="宋体"/>
          <w:sz w:val="21"/>
          <w:szCs w:val="21"/>
        </w:rPr>
      </w:pPr>
      <w:r>
        <w:rPr>
          <w:rFonts w:hint="eastAsia" w:ascii="宋体" w:hAnsi="宋体" w:eastAsia="宋体" w:cs="宋体"/>
          <w:sz w:val="21"/>
          <w:szCs w:val="21"/>
        </w:rPr>
        <w:t>小街区规制： 针对中心城区大宗商业或居住地块的合并诉求，触发系统对街区尺度“单宗地块原则上在 50 亩左右”的硬性规模预警。</w:t>
      </w:r>
    </w:p>
    <w:p w14:paraId="187E58DD">
      <w:pPr>
        <w:pStyle w:val="5"/>
        <w:rPr>
          <w:rFonts w:hint="eastAsia" w:ascii="宋体" w:hAnsi="宋体" w:eastAsia="宋体" w:cs="宋体"/>
          <w:sz w:val="21"/>
          <w:szCs w:val="21"/>
          <w:lang w:eastAsia="zh-CN"/>
        </w:rPr>
      </w:pPr>
      <w:r>
        <w:rPr>
          <w:rFonts w:hint="eastAsia" w:ascii="宋体" w:hAnsi="宋体" w:eastAsia="宋体" w:cs="宋体"/>
          <w:sz w:val="21"/>
          <w:szCs w:val="21"/>
        </w:rPr>
        <w:t>（3）跨部门协同与政务前置条件（Cross-departmental Coordination）</w:t>
      </w:r>
    </w:p>
    <w:p w14:paraId="2E3F095D">
      <w:pPr>
        <w:pStyle w:val="4"/>
        <w:rPr>
          <w:rFonts w:hint="eastAsia" w:ascii="宋体" w:hAnsi="宋体" w:eastAsia="宋体" w:cs="宋体"/>
          <w:sz w:val="21"/>
          <w:szCs w:val="21"/>
        </w:rPr>
      </w:pPr>
      <w:r>
        <w:rPr>
          <w:rFonts w:hint="eastAsia" w:ascii="宋体" w:hAnsi="宋体" w:eastAsia="宋体" w:cs="宋体"/>
          <w:sz w:val="21"/>
          <w:szCs w:val="21"/>
        </w:rPr>
        <w:t>规划审查不仅是技术审查，更是行政审批的前置关口。本知识库对高频会签规则进行了标签化归类。例如，系统一旦识别出核心诉求包含将地块性质调整为“一住两公”（住宅及两类公共管理与公共服务用地），即自动触发环保部门的“土壤污染调查名录”前置程序；若识别到原有绿地、消防用地的减量，则强制生成向区综合执法局、市消防支队征求意见的会签指令。</w:t>
      </w:r>
    </w:p>
    <w:p w14:paraId="723E2337">
      <w:pPr>
        <w:pStyle w:val="3"/>
        <w:rPr>
          <w:rFonts w:hint="eastAsia" w:ascii="宋体" w:hAnsi="宋体" w:eastAsia="宋体" w:cs="宋体"/>
          <w:sz w:val="21"/>
          <w:szCs w:val="21"/>
        </w:rPr>
      </w:pPr>
      <w:r>
        <w:rPr>
          <w:rFonts w:hint="eastAsia" w:ascii="宋体" w:hAnsi="宋体" w:eastAsia="宋体" w:cs="宋体"/>
          <w:sz w:val="21"/>
          <w:szCs w:val="21"/>
        </w:rPr>
        <w:t xml:space="preserve"> 2.4 审查知识库的向量化处理（Vectorization）</w:t>
      </w:r>
    </w:p>
    <w:p w14:paraId="4F1E33EC">
      <w:pPr>
        <w:pStyle w:val="4"/>
        <w:rPr>
          <w:rFonts w:hint="eastAsia" w:ascii="宋体" w:hAnsi="宋体" w:eastAsia="宋体" w:cs="宋体"/>
          <w:sz w:val="21"/>
          <w:szCs w:val="21"/>
        </w:rPr>
      </w:pPr>
      <w:r>
        <w:rPr>
          <w:rFonts w:hint="eastAsia" w:ascii="宋体" w:hAnsi="宋体" w:eastAsia="宋体" w:cs="宋体"/>
          <w:sz w:val="21"/>
          <w:szCs w:val="21"/>
        </w:rPr>
        <w:t>为实现上述结构化知识的高效机器检索，本研究将提炼出的三元组数据转化为检索增强生成（RAG）架构所需的向量数据库。采用对中文政务语义理解深度的开源词向量模型（如 Text2Vec-Base-Chinese），将每一条“历史案卷诉求与审查意见”映射为高维向量空间中的点。同时，为每条知识附加了丰富的元数据（Metadata）标签（如所在行政区、用地调整类型、是否涉密/涉军等），以便在后续检索阶段通过“向量余弦相似度（Cosine Similarity）+ 元数据硬过滤”的双重机制，实现对历史相似案卷的毫秒级精准召回，从根本上为大模型注入了“成都本地规划师”的先验知识。</w:t>
      </w:r>
    </w:p>
    <w:p w14:paraId="3AE1A6AE">
      <w:pPr>
        <w:pStyle w:val="2"/>
        <w:rPr>
          <w:rFonts w:hint="eastAsia" w:ascii="宋体" w:hAnsi="宋体" w:eastAsia="宋体" w:cs="宋体"/>
          <w:b/>
          <w:bCs/>
          <w:sz w:val="21"/>
          <w:szCs w:val="21"/>
        </w:rPr>
      </w:pPr>
      <w:r>
        <w:rPr>
          <w:rFonts w:hint="eastAsia" w:ascii="宋体" w:hAnsi="宋体" w:eastAsia="宋体" w:cs="宋体"/>
          <w:sz w:val="21"/>
          <w:szCs w:val="21"/>
        </w:rPr>
        <w:t xml:space="preserve"> 第三章 基于 RAG 与多智能体协同的控规审查架构设计</w:t>
      </w:r>
    </w:p>
    <w:p w14:paraId="3BDEB9ED">
      <w:pPr>
        <w:rPr>
          <w:rFonts w:hint="eastAsia" w:ascii="宋体" w:hAnsi="宋体" w:eastAsia="宋体" w:cs="宋体"/>
          <w:sz w:val="21"/>
          <w:szCs w:val="21"/>
        </w:rPr>
      </w:pPr>
    </w:p>
    <w:p w14:paraId="4983E0A6">
      <w:pPr>
        <w:pStyle w:val="3"/>
        <w:rPr>
          <w:rFonts w:hint="eastAsia" w:ascii="宋体" w:hAnsi="宋体" w:eastAsia="宋体" w:cs="宋体"/>
          <w:sz w:val="21"/>
          <w:szCs w:val="21"/>
        </w:rPr>
      </w:pPr>
      <w:r>
        <w:rPr>
          <w:rFonts w:hint="eastAsia" w:ascii="宋体" w:hAnsi="宋体" w:eastAsia="宋体" w:cs="宋体"/>
          <w:sz w:val="21"/>
          <w:szCs w:val="21"/>
        </w:rPr>
        <w:t xml:space="preserve"> 3.1 总体架构设计与审查工作流</w:t>
      </w:r>
    </w:p>
    <w:p w14:paraId="3066494E">
      <w:pPr>
        <w:pStyle w:val="4"/>
        <w:rPr>
          <w:rFonts w:hint="eastAsia" w:ascii="宋体" w:hAnsi="宋体" w:eastAsia="宋体" w:cs="宋体"/>
          <w:sz w:val="21"/>
          <w:szCs w:val="21"/>
        </w:rPr>
      </w:pPr>
      <w:r>
        <w:rPr>
          <w:rFonts w:hint="eastAsia" w:ascii="宋体" w:hAnsi="宋体" w:eastAsia="宋体" w:cs="宋体"/>
          <w:sz w:val="21"/>
          <w:szCs w:val="21"/>
        </w:rPr>
        <w:t>针对传统单体大语言模型（LLM）在处理超长篇幅规划报告时易出现的“上下文遗忘”与“注意力稀释（Attention Dilution）”问题</w:t>
      </w:r>
      <w:r>
        <w:rPr>
          <w:rFonts w:hint="eastAsia" w:ascii="宋体" w:hAnsi="宋体" w:cs="宋体"/>
          <w:sz w:val="21"/>
          <w:szCs w:val="21"/>
          <w:vertAlign w:val="superscript"/>
          <w:lang w:val="en-US" w:eastAsia="zh-CN"/>
        </w:rPr>
        <w:t>[6]</w:t>
      </w:r>
      <w:r>
        <w:rPr>
          <w:rFonts w:hint="eastAsia" w:ascii="宋体" w:hAnsi="宋体" w:eastAsia="宋体" w:cs="宋体"/>
          <w:sz w:val="21"/>
          <w:szCs w:val="21"/>
        </w:rPr>
        <w:t>，本文设计了一种基于多智能体（Multi-Agent）协同与检索增强生成（RAG）的混合审查架构</w:t>
      </w:r>
      <w:r>
        <w:rPr>
          <w:rFonts w:hint="eastAsia" w:ascii="宋体" w:hAnsi="宋体" w:cs="宋体"/>
          <w:sz w:val="21"/>
          <w:szCs w:val="21"/>
          <w:lang w:eastAsia="zh-CN"/>
        </w:rPr>
        <w:t>（</w:t>
      </w:r>
      <w:r>
        <w:rPr>
          <w:rFonts w:hint="eastAsia" w:ascii="宋体" w:hAnsi="宋体" w:cs="宋体"/>
          <w:sz w:val="21"/>
          <w:szCs w:val="21"/>
          <w:lang w:val="en-US" w:eastAsia="zh-CN"/>
        </w:rPr>
        <w:t>图3</w:t>
      </w:r>
      <w:r>
        <w:rPr>
          <w:rFonts w:hint="eastAsia" w:ascii="宋体" w:hAnsi="宋体" w:cs="宋体"/>
          <w:sz w:val="21"/>
          <w:szCs w:val="21"/>
          <w:lang w:eastAsia="zh-CN"/>
        </w:rPr>
        <w:t>）</w:t>
      </w:r>
      <w:r>
        <w:rPr>
          <w:rFonts w:hint="eastAsia" w:ascii="宋体" w:hAnsi="宋体" w:eastAsia="宋体" w:cs="宋体"/>
          <w:sz w:val="21"/>
          <w:szCs w:val="21"/>
        </w:rPr>
        <w:t>。该架构模拟了真实规划政务审批中“初审划重点-档案查规矩-主审出报告”的标准化工作流，将其解构为三个核心技术模块</w:t>
      </w:r>
      <w:r>
        <w:rPr>
          <w:rFonts w:hint="eastAsia" w:ascii="宋体" w:hAnsi="宋体" w:cs="宋体"/>
          <w:sz w:val="21"/>
          <w:szCs w:val="21"/>
          <w:lang w:eastAsia="zh-CN"/>
        </w:rPr>
        <w:t>（</w:t>
      </w:r>
      <w:r>
        <w:rPr>
          <w:rFonts w:hint="eastAsia" w:ascii="宋体" w:hAnsi="宋体" w:cs="宋体"/>
          <w:sz w:val="21"/>
          <w:szCs w:val="21"/>
          <w:lang w:val="en-US" w:eastAsia="zh-CN"/>
        </w:rPr>
        <w:t>图4</w:t>
      </w:r>
      <w:r>
        <w:rPr>
          <w:rFonts w:hint="eastAsia" w:ascii="宋体" w:hAnsi="宋体" w:cs="宋体"/>
          <w:sz w:val="21"/>
          <w:szCs w:val="21"/>
          <w:lang w:eastAsia="zh-CN"/>
        </w:rPr>
        <w:t>）</w:t>
      </w:r>
      <w:r>
        <w:rPr>
          <w:rFonts w:hint="eastAsia" w:ascii="宋体" w:hAnsi="宋体" w:eastAsia="宋体" w:cs="宋体"/>
          <w:sz w:val="21"/>
          <w:szCs w:val="21"/>
        </w:rPr>
        <w:t>：</w:t>
      </w:r>
    </w:p>
    <w:p w14:paraId="394D7489">
      <w:pPr>
        <w:pStyle w:val="4"/>
        <w:numPr>
          <w:ilvl w:val="0"/>
          <w:numId w:val="4"/>
        </w:numPr>
        <w:ind w:left="0" w:leftChars="0" w:firstLine="480" w:firstLineChars="0"/>
        <w:rPr>
          <w:rFonts w:hint="eastAsia" w:ascii="宋体" w:hAnsi="宋体" w:eastAsia="宋体" w:cs="宋体"/>
          <w:b w:val="0"/>
          <w:sz w:val="21"/>
          <w:szCs w:val="21"/>
        </w:rPr>
      </w:pPr>
      <w:r>
        <w:rPr>
          <w:rFonts w:hint="eastAsia" w:ascii="宋体" w:hAnsi="宋体" w:eastAsia="宋体" w:cs="宋体"/>
          <w:sz w:val="21"/>
          <w:szCs w:val="21"/>
        </w:rPr>
        <w:t>初审智能体（Page-Scanner Agent）： 负责破解长文本限制，对输入案卷进行分块精读与实质性诉求提取；</w:t>
      </w:r>
    </w:p>
    <w:p w14:paraId="51FF1938">
      <w:pPr>
        <w:pStyle w:val="4"/>
        <w:numPr>
          <w:ilvl w:val="0"/>
          <w:numId w:val="4"/>
        </w:numPr>
        <w:ind w:left="0" w:leftChars="0" w:firstLine="480" w:firstLineChars="0"/>
        <w:rPr>
          <w:rFonts w:hint="eastAsia" w:ascii="宋体" w:hAnsi="宋体" w:eastAsia="宋体" w:cs="宋体"/>
          <w:b w:val="0"/>
          <w:sz w:val="21"/>
          <w:szCs w:val="21"/>
        </w:rPr>
      </w:pPr>
      <w:r>
        <w:rPr>
          <w:rFonts w:hint="eastAsia" w:ascii="宋体" w:hAnsi="宋体" w:eastAsia="宋体" w:cs="宋体"/>
          <w:sz w:val="21"/>
          <w:szCs w:val="21"/>
        </w:rPr>
        <w:t>检索智能体（RAG Retriever）： 负责在向量知识库中计算语义相似度，精准召回历史审查意见；</w:t>
      </w:r>
    </w:p>
    <w:p w14:paraId="3575748C">
      <w:pPr>
        <w:pStyle w:val="4"/>
        <w:numPr>
          <w:ilvl w:val="0"/>
          <w:numId w:val="4"/>
        </w:numPr>
        <w:ind w:left="0" w:leftChars="0" w:firstLine="480" w:firstLineChars="0"/>
        <w:rPr>
          <w:rFonts w:hint="eastAsia" w:ascii="宋体" w:hAnsi="宋体" w:eastAsia="宋体" w:cs="宋体"/>
          <w:b w:val="0"/>
          <w:sz w:val="21"/>
          <w:szCs w:val="21"/>
        </w:rPr>
      </w:pPr>
      <w:r>
        <w:rPr>
          <w:rFonts w:hint="eastAsia" w:ascii="宋体" w:hAnsi="宋体" w:eastAsia="宋体" w:cs="宋体"/>
          <w:sz w:val="21"/>
          <w:szCs w:val="21"/>
        </w:rPr>
        <w:t>主审智能体（Report-Synthesizer Agent）： 负责融合多维上下文，生成符合官方政务公文规范的技术审查意见。</w:t>
      </w:r>
    </w:p>
    <w:p w14:paraId="116B9429">
      <w:pPr>
        <w:pStyle w:val="4"/>
        <w:numPr>
          <w:ilvl w:val="0"/>
          <w:numId w:val="0"/>
        </w:numPr>
      </w:pPr>
      <w:r>
        <w:drawing>
          <wp:inline distT="0" distB="0" distL="114300" distR="114300">
            <wp:extent cx="5264150" cy="3439795"/>
            <wp:effectExtent l="0" t="0" r="12700" b="825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1"/>
                    <a:stretch>
                      <a:fillRect/>
                    </a:stretch>
                  </pic:blipFill>
                  <pic:spPr>
                    <a:xfrm>
                      <a:off x="0" y="0"/>
                      <a:ext cx="5264150" cy="3439795"/>
                    </a:xfrm>
                    <a:prstGeom prst="rect">
                      <a:avLst/>
                    </a:prstGeom>
                    <a:noFill/>
                    <a:ln>
                      <a:noFill/>
                    </a:ln>
                  </pic:spPr>
                </pic:pic>
              </a:graphicData>
            </a:graphic>
          </wp:inline>
        </w:drawing>
      </w:r>
    </w:p>
    <w:p w14:paraId="6590326D">
      <w:pPr>
        <w:pStyle w:val="4"/>
        <w:jc w:val="center"/>
        <w:rPr>
          <w:rFonts w:hint="default" w:ascii="宋体" w:hAnsi="宋体" w:eastAsia="宋体" w:cs="宋体"/>
          <w:sz w:val="21"/>
          <w:szCs w:val="21"/>
          <w:lang w:val="en-US"/>
        </w:rPr>
      </w:pPr>
      <w:r>
        <w:rPr>
          <w:rFonts w:hint="eastAsia"/>
          <w:sz w:val="15"/>
          <w:szCs w:val="15"/>
          <w:lang w:val="en-US" w:eastAsia="zh-CN"/>
        </w:rPr>
        <w:t>图3 城市控规审查辅助系统架构图</w:t>
      </w:r>
    </w:p>
    <w:p w14:paraId="636176A0">
      <w:pPr>
        <w:pStyle w:val="4"/>
        <w:numPr>
          <w:ilvl w:val="0"/>
          <w:numId w:val="0"/>
        </w:numPr>
        <w:rPr>
          <w:rFonts w:hint="eastAsia"/>
        </w:rPr>
      </w:pPr>
    </w:p>
    <w:p w14:paraId="16937BC1">
      <w:r>
        <w:drawing>
          <wp:inline distT="0" distB="0" distL="114300" distR="114300">
            <wp:extent cx="5591810" cy="1251585"/>
            <wp:effectExtent l="0" t="0" r="8890"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591810" cy="1251585"/>
                    </a:xfrm>
                    <a:prstGeom prst="rect">
                      <a:avLst/>
                    </a:prstGeom>
                    <a:noFill/>
                    <a:ln>
                      <a:noFill/>
                    </a:ln>
                  </pic:spPr>
                </pic:pic>
              </a:graphicData>
            </a:graphic>
          </wp:inline>
        </w:drawing>
      </w:r>
    </w:p>
    <w:p w14:paraId="0FF80B9F">
      <w:pPr>
        <w:pStyle w:val="4"/>
        <w:jc w:val="center"/>
        <w:rPr>
          <w:rFonts w:hint="eastAsia"/>
          <w:lang w:eastAsia="zh-CN"/>
        </w:rPr>
      </w:pPr>
      <w:r>
        <w:rPr>
          <w:rFonts w:hint="eastAsia"/>
          <w:sz w:val="15"/>
          <w:szCs w:val="15"/>
          <w:lang w:val="en-US" w:eastAsia="zh-CN"/>
        </w:rPr>
        <w:t>图4 多智能体协调审查框架</w:t>
      </w:r>
    </w:p>
    <w:p w14:paraId="65A747DC">
      <w:pPr>
        <w:rPr>
          <w:rFonts w:hint="eastAsia"/>
        </w:rPr>
      </w:pPr>
    </w:p>
    <w:p w14:paraId="4093A23D">
      <w:pPr>
        <w:pStyle w:val="3"/>
        <w:rPr>
          <w:rFonts w:hint="eastAsia" w:ascii="宋体" w:hAnsi="宋体" w:eastAsia="宋体" w:cs="宋体"/>
          <w:sz w:val="21"/>
          <w:szCs w:val="21"/>
        </w:rPr>
      </w:pPr>
      <w:r>
        <w:rPr>
          <w:rFonts w:hint="eastAsia" w:ascii="宋体" w:hAnsi="宋体" w:eastAsia="宋体" w:cs="宋体"/>
          <w:sz w:val="21"/>
          <w:szCs w:val="21"/>
        </w:rPr>
        <w:t xml:space="preserve"> 3.2 基于长文本分块的初审智能体设计</w:t>
      </w:r>
    </w:p>
    <w:p w14:paraId="3BA4AE6B">
      <w:pPr>
        <w:pStyle w:val="4"/>
        <w:rPr>
          <w:rFonts w:hint="eastAsia" w:ascii="宋体" w:hAnsi="宋体" w:eastAsia="宋体" w:cs="宋体"/>
          <w:sz w:val="21"/>
          <w:szCs w:val="21"/>
        </w:rPr>
      </w:pPr>
      <w:r>
        <w:rPr>
          <w:rFonts w:hint="eastAsia" w:ascii="宋体" w:hAnsi="宋体" w:eastAsia="宋体" w:cs="宋体"/>
          <w:sz w:val="21"/>
          <w:szCs w:val="21"/>
        </w:rPr>
        <w:t>控规局部调整论证报告通常长达数十页，包含大量背景套话、现状照片及基础目录，其实质性调整动作往往隐藏在文末的指标表或特定段落中。若直接将全量文本输入 LLM，不仅容易触发模型的 Token 截断机制，还会导致模型对关键审查意见（如“取消 50 个停车位”等细微修改）的提取失败。</w:t>
      </w:r>
    </w:p>
    <w:p w14:paraId="4AF1E2AB">
      <w:pPr>
        <w:pStyle w:val="4"/>
        <w:rPr>
          <w:rFonts w:hint="eastAsia" w:ascii="宋体" w:hAnsi="宋体" w:eastAsia="宋体" w:cs="宋体"/>
          <w:sz w:val="21"/>
          <w:szCs w:val="21"/>
        </w:rPr>
      </w:pPr>
      <w:r>
        <w:rPr>
          <w:rFonts w:hint="eastAsia" w:ascii="宋体" w:hAnsi="宋体" w:eastAsia="宋体" w:cs="宋体"/>
          <w:sz w:val="21"/>
          <w:szCs w:val="21"/>
        </w:rPr>
        <w:t>为此，本研究设计了初审智能体模块。该模块采用文档分块（Document Chunking）策略</w:t>
      </w:r>
      <w:r>
        <w:rPr>
          <w:rFonts w:hint="eastAsia" w:ascii="宋体" w:hAnsi="宋体" w:cs="宋体"/>
          <w:sz w:val="21"/>
          <w:szCs w:val="21"/>
          <w:vertAlign w:val="superscript"/>
          <w:lang w:val="en-US" w:eastAsia="zh-CN"/>
        </w:rPr>
        <w:t>[7]</w:t>
      </w:r>
      <w:r>
        <w:rPr>
          <w:rFonts w:hint="eastAsia" w:ascii="宋体" w:hAnsi="宋体" w:eastAsia="宋体" w:cs="宋体"/>
          <w:sz w:val="21"/>
          <w:szCs w:val="21"/>
        </w:rPr>
        <w:t>，以 3 页为一个滑动窗口（Sliding Window），引导大模型进行“逐页精读”。</w:t>
      </w:r>
    </w:p>
    <w:p w14:paraId="5BF52BE3">
      <w:pPr>
        <w:pStyle w:val="4"/>
        <w:rPr>
          <w:rFonts w:hint="eastAsia" w:ascii="宋体" w:hAnsi="宋体" w:eastAsia="宋体" w:cs="宋体"/>
          <w:sz w:val="21"/>
          <w:szCs w:val="21"/>
        </w:rPr>
      </w:pPr>
      <w:r>
        <w:rPr>
          <w:rFonts w:hint="eastAsia" w:ascii="宋体" w:hAnsi="宋体" w:eastAsia="宋体" w:cs="宋体"/>
          <w:sz w:val="21"/>
          <w:szCs w:val="21"/>
        </w:rPr>
        <w:t>初审智能体的核心算法流程如下：</w:t>
      </w:r>
    </w:p>
    <w:p w14:paraId="143F2305">
      <w:pPr>
        <w:pStyle w:val="4"/>
        <w:numPr>
          <w:ilvl w:val="0"/>
          <w:numId w:val="5"/>
        </w:numPr>
        <w:ind w:left="0" w:leftChars="0" w:firstLine="480" w:firstLineChars="0"/>
        <w:rPr>
          <w:rFonts w:hint="eastAsia" w:ascii="宋体" w:hAnsi="宋体" w:eastAsia="宋体" w:cs="宋体"/>
          <w:b w:val="0"/>
          <w:sz w:val="21"/>
          <w:szCs w:val="21"/>
        </w:rPr>
      </w:pPr>
      <w:r>
        <w:rPr>
          <w:rFonts w:hint="eastAsia" w:ascii="宋体" w:hAnsi="宋体" w:eastAsia="宋体" w:cs="宋体"/>
          <w:sz w:val="21"/>
          <w:szCs w:val="21"/>
        </w:rPr>
        <w:t>文本流式加载： 利用 PyPDFLoader 框架将非结构化 PDF 案卷解析为连续的页面文本流。</w:t>
      </w:r>
    </w:p>
    <w:p w14:paraId="4996064E">
      <w:pPr>
        <w:pStyle w:val="4"/>
        <w:numPr>
          <w:ilvl w:val="0"/>
          <w:numId w:val="5"/>
        </w:numPr>
        <w:ind w:left="0" w:leftChars="0" w:firstLine="480" w:firstLineChars="0"/>
        <w:rPr>
          <w:rFonts w:hint="eastAsia" w:ascii="宋体" w:hAnsi="宋体" w:eastAsia="宋体" w:cs="宋体"/>
          <w:b w:val="0"/>
          <w:sz w:val="21"/>
          <w:szCs w:val="21"/>
        </w:rPr>
      </w:pPr>
      <w:r>
        <w:rPr>
          <w:rFonts w:hint="eastAsia" w:ascii="宋体" w:hAnsi="宋体" w:eastAsia="宋体" w:cs="宋体"/>
          <w:sz w:val="21"/>
          <w:szCs w:val="21"/>
        </w:rPr>
        <w:t>分块降噪与提炼： 智能体在每个 Chunk 窗口内，被赋予极强的“找茬”系统指令（System Prompt）。模型需判断当前页面是否存在“实质性规划调整动作”或“潜在审查意见”（如用地性质改变、绿地减量、涉及高压线等）。若页面仅为冗余背景，则输出“无”并予以舍弃；若发现实质内容，则精准提炼为百字以内的“案卷疑点（Findings）”并记录对应页码。</w:t>
      </w:r>
    </w:p>
    <w:p w14:paraId="1042BED2">
      <w:pPr>
        <w:pStyle w:val="4"/>
        <w:numPr>
          <w:ilvl w:val="0"/>
          <w:numId w:val="5"/>
        </w:numPr>
        <w:ind w:left="0" w:leftChars="0" w:firstLine="480" w:firstLineChars="0"/>
        <w:rPr>
          <w:rFonts w:hint="eastAsia" w:ascii="宋体" w:hAnsi="宋体" w:eastAsia="宋体" w:cs="宋体"/>
          <w:b w:val="0"/>
          <w:sz w:val="21"/>
          <w:szCs w:val="21"/>
        </w:rPr>
      </w:pPr>
      <w:r>
        <w:rPr>
          <w:rFonts w:hint="eastAsia" w:ascii="宋体" w:hAnsi="宋体" w:eastAsia="宋体" w:cs="宋体"/>
          <w:sz w:val="21"/>
          <w:szCs w:val="21"/>
        </w:rPr>
        <w:t>疑点聚合： 遍历全篇后，初审智能体输出一份高浓缩的、带有页码溯源标记的《案卷疑点汇总流》，作为后续检索与生成的输入依据。该机制在极大地压缩无效 Token 消耗的同时，实现了对审查意见的 100% 高召回率。</w:t>
      </w:r>
    </w:p>
    <w:p w14:paraId="7238134A">
      <w:pPr>
        <w:pStyle w:val="3"/>
        <w:rPr>
          <w:rFonts w:hint="eastAsia" w:ascii="宋体" w:hAnsi="宋体" w:eastAsia="宋体" w:cs="宋体"/>
          <w:sz w:val="21"/>
          <w:szCs w:val="21"/>
        </w:rPr>
      </w:pPr>
      <w:r>
        <w:rPr>
          <w:rFonts w:hint="eastAsia" w:ascii="宋体" w:hAnsi="宋体" w:eastAsia="宋体" w:cs="宋体"/>
          <w:sz w:val="21"/>
          <w:szCs w:val="21"/>
        </w:rPr>
        <w:t xml:space="preserve"> 3.3 面向政务规则的 RAG 检索机制</w:t>
      </w:r>
    </w:p>
    <w:p w14:paraId="0548F7CB">
      <w:pPr>
        <w:pStyle w:val="4"/>
        <w:rPr>
          <w:rFonts w:hint="eastAsia" w:ascii="宋体" w:hAnsi="宋体" w:eastAsia="宋体" w:cs="宋体"/>
          <w:sz w:val="21"/>
          <w:szCs w:val="21"/>
        </w:rPr>
      </w:pPr>
      <w:r>
        <w:rPr>
          <w:rFonts w:hint="eastAsia" w:ascii="宋体" w:hAnsi="宋体" w:eastAsia="宋体" w:cs="宋体"/>
          <w:sz w:val="21"/>
          <w:szCs w:val="21"/>
        </w:rPr>
        <w:t>在获取《案卷疑点汇总流》后，系统进入知识检索阶段。此阶段的核心目标是解决大模型的“地方性知识盲区”。</w:t>
      </w:r>
    </w:p>
    <w:p w14:paraId="1116CA5D">
      <w:pPr>
        <w:pStyle w:val="4"/>
        <w:rPr>
          <w:rFonts w:hint="eastAsia" w:ascii="宋体" w:hAnsi="宋体" w:eastAsia="宋体" w:cs="宋体"/>
          <w:sz w:val="21"/>
          <w:szCs w:val="21"/>
        </w:rPr>
      </w:pPr>
      <w:r>
        <w:rPr>
          <w:rFonts w:hint="eastAsia" w:ascii="宋体" w:hAnsi="宋体" w:eastAsia="宋体" w:cs="宋体"/>
          <w:sz w:val="21"/>
          <w:szCs w:val="21"/>
        </w:rPr>
        <w:t>本系统选用对中文政务语义具有深度理解的 `text2vec-base-chinese` 词向量模型，将新案卷的疑点汇总转化为高维密集向量（Dense Vector）</w:t>
      </w:r>
      <w:r>
        <w:rPr>
          <w:rFonts w:hint="eastAsia" w:ascii="宋体" w:hAnsi="宋体" w:cs="宋体"/>
          <w:sz w:val="21"/>
          <w:szCs w:val="21"/>
          <w:vertAlign w:val="superscript"/>
          <w:lang w:val="en-US" w:eastAsia="zh-CN"/>
        </w:rPr>
        <w:t>[8]</w:t>
      </w:r>
      <w:r>
        <w:rPr>
          <w:rFonts w:hint="eastAsia" w:ascii="宋体" w:hAnsi="宋体" w:eastAsia="宋体" w:cs="宋体"/>
          <w:sz w:val="21"/>
          <w:szCs w:val="21"/>
        </w:rPr>
        <w:t>。随后，在第二章构建的成都市历史审查 Chroma 向量数据库中，利用余弦相似度（Cosine Similarity）算法</w:t>
      </w:r>
      <w:r>
        <w:rPr>
          <w:rFonts w:hint="eastAsia" w:ascii="宋体" w:hAnsi="宋体" w:cs="宋体"/>
          <w:sz w:val="21"/>
          <w:szCs w:val="21"/>
          <w:vertAlign w:val="superscript"/>
          <w:lang w:val="en-US" w:eastAsia="zh-CN"/>
        </w:rPr>
        <w:t>[9]</w:t>
      </w:r>
      <w:r>
        <w:rPr>
          <w:rFonts w:hint="eastAsia" w:ascii="宋体" w:hAnsi="宋体" w:eastAsia="宋体" w:cs="宋体"/>
          <w:sz w:val="21"/>
          <w:szCs w:val="21"/>
        </w:rPr>
        <w:t>进行最近邻搜索（K-NN）</w:t>
      </w:r>
      <w:r>
        <w:rPr>
          <w:rFonts w:hint="eastAsia" w:ascii="宋体" w:hAnsi="宋体" w:cs="宋体"/>
          <w:sz w:val="21"/>
          <w:szCs w:val="21"/>
          <w:vertAlign w:val="superscript"/>
          <w:lang w:val="en-US" w:eastAsia="zh-CN"/>
        </w:rPr>
        <w:t>[10]</w:t>
      </w:r>
      <w:r>
        <w:rPr>
          <w:rFonts w:hint="eastAsia" w:ascii="宋体" w:hAnsi="宋体" w:eastAsia="宋体" w:cs="宋体"/>
          <w:sz w:val="21"/>
          <w:szCs w:val="21"/>
        </w:rPr>
        <w:t>。</w:t>
      </w:r>
    </w:p>
    <w:p w14:paraId="2808CE26">
      <w:pPr>
        <w:pStyle w:val="4"/>
        <w:rPr>
          <w:rFonts w:hint="eastAsia" w:ascii="宋体" w:hAnsi="宋体" w:eastAsia="宋体" w:cs="宋体"/>
          <w:sz w:val="21"/>
          <w:szCs w:val="21"/>
        </w:rPr>
      </w:pPr>
      <w:r>
        <w:rPr>
          <w:rFonts w:hint="eastAsia" w:ascii="宋体" w:hAnsi="宋体" w:eastAsia="宋体" w:cs="宋体"/>
          <w:sz w:val="21"/>
          <w:szCs w:val="21"/>
        </w:rPr>
        <w:t>定义查询向量为</w:t>
      </w:r>
      <m:oMath>
        <m:r>
          <m:rPr/>
          <w:rPr>
            <w:rFonts w:hint="default" w:ascii="Cambria Math" w:hAnsi="Cambria Math" w:cs="宋体"/>
            <w:kern w:val="2"/>
            <w:sz w:val="21"/>
            <w:szCs w:val="21"/>
            <w:lang w:val="en-US" w:eastAsia="zh-CN" w:bidi="ar-SA"/>
          </w:rPr>
          <m:t>q</m:t>
        </m:r>
      </m:oMath>
      <w:r>
        <w:rPr>
          <w:rFonts w:hint="eastAsia" w:ascii="宋体" w:hAnsi="宋体" w:eastAsia="宋体" w:cs="宋体"/>
          <w:sz w:val="21"/>
          <w:szCs w:val="21"/>
        </w:rPr>
        <w:t>，知识库中的历史案卷向量为</w:t>
      </w:r>
      <m:oMath>
        <m:sSub>
          <m:sSubPr>
            <m:ctrlPr>
              <w:rPr>
                <w:rFonts w:ascii="Cambria Math" w:hAnsi="Cambria Math" w:cs="宋体"/>
                <w:i/>
                <w:sz w:val="21"/>
                <w:szCs w:val="21"/>
              </w:rPr>
            </m:ctrlPr>
          </m:sSubPr>
          <m:e>
            <m:r>
              <m:rPr/>
              <w:rPr>
                <w:rFonts w:hint="default" w:ascii="Cambria Math" w:hAnsi="Cambria Math" w:cs="宋体"/>
                <w:sz w:val="21"/>
                <w:szCs w:val="21"/>
                <w:lang w:val="en-US" w:eastAsia="zh-CN"/>
              </w:rPr>
              <m:t>d</m:t>
            </m:r>
            <m:ctrlPr>
              <w:rPr>
                <w:rFonts w:ascii="Cambria Math" w:hAnsi="Cambria Math" w:cs="宋体"/>
                <w:i/>
                <w:sz w:val="21"/>
                <w:szCs w:val="21"/>
              </w:rPr>
            </m:ctrlPr>
          </m:e>
          <m:sub>
            <m:r>
              <m:rPr/>
              <w:rPr>
                <w:rFonts w:hint="default" w:ascii="Cambria Math" w:hAnsi="Cambria Math" w:cs="宋体"/>
                <w:sz w:val="21"/>
                <w:szCs w:val="21"/>
                <w:lang w:val="en-US" w:eastAsia="zh-CN"/>
              </w:rPr>
              <m:t>i</m:t>
            </m:r>
            <m:ctrlPr>
              <w:rPr>
                <w:rFonts w:ascii="Cambria Math" w:hAnsi="Cambria Math" w:cs="宋体"/>
                <w:i/>
                <w:sz w:val="21"/>
                <w:szCs w:val="21"/>
              </w:rPr>
            </m:ctrlPr>
          </m:sub>
        </m:sSub>
      </m:oMath>
      <w:r>
        <w:rPr>
          <w:rFonts w:hint="eastAsia" w:ascii="宋体" w:hAnsi="宋体" w:eastAsia="宋体" w:cs="宋体"/>
          <w:sz w:val="21"/>
          <w:szCs w:val="21"/>
        </w:rPr>
        <w:t>，相似度计算公式如下：</w:t>
      </w:r>
    </w:p>
    <w:p w14:paraId="7A08677E">
      <w:pPr>
        <w:rPr>
          <w:rFonts w:hint="default" w:ascii="宋体" w:hAnsi="宋体" w:eastAsia="宋体" w:cs="宋体"/>
          <w:sz w:val="21"/>
          <w:szCs w:val="21"/>
          <w:lang w:val="en-US"/>
        </w:rPr>
      </w:pPr>
      <m:oMathPara>
        <m:oMath>
          <m:r>
            <m:rPr/>
            <w:rPr>
              <w:rFonts w:hint="default" w:ascii="Cambria Math" w:hAnsi="Cambria Math" w:eastAsia="宋体" w:cs="宋体"/>
              <w:kern w:val="2"/>
              <w:sz w:val="21"/>
              <w:szCs w:val="21"/>
              <w:lang w:val="en-US" w:eastAsia="zh-CN" w:bidi="ar-SA"/>
            </w:rPr>
            <m:t>Similarity(q,</m:t>
          </m:r>
          <m:sSub>
            <m:sSubPr>
              <m:ctrlPr>
                <w:rPr>
                  <w:rFonts w:hint="default" w:ascii="Cambria Math" w:hAnsi="Cambria Math" w:eastAsia="宋体" w:cs="宋体"/>
                  <w:i/>
                  <w:kern w:val="2"/>
                  <w:sz w:val="21"/>
                  <w:szCs w:val="21"/>
                  <w:lang w:val="en-US" w:eastAsia="zh-CN" w:bidi="ar-SA"/>
                </w:rPr>
              </m:ctrlPr>
            </m:sSubPr>
            <m:e>
              <m:r>
                <m:rPr/>
                <w:rPr>
                  <w:rFonts w:hint="default" w:ascii="Cambria Math" w:hAnsi="Cambria Math" w:eastAsia="宋体" w:cs="宋体"/>
                  <w:kern w:val="2"/>
                  <w:sz w:val="21"/>
                  <w:szCs w:val="21"/>
                  <w:lang w:val="en-US" w:eastAsia="zh-CN" w:bidi="ar-SA"/>
                </w:rPr>
                <m:t>d</m:t>
              </m:r>
              <m:ctrlPr>
                <w:rPr>
                  <w:rFonts w:hint="default" w:ascii="Cambria Math" w:hAnsi="Cambria Math" w:eastAsia="宋体" w:cs="宋体"/>
                  <w:i/>
                  <w:kern w:val="2"/>
                  <w:sz w:val="21"/>
                  <w:szCs w:val="21"/>
                  <w:lang w:val="en-US" w:eastAsia="zh-CN" w:bidi="ar-SA"/>
                </w:rPr>
              </m:ctrlPr>
            </m:e>
            <m:sub>
              <m:r>
                <m:rPr/>
                <w:rPr>
                  <w:rFonts w:hint="default" w:ascii="Cambria Math" w:hAnsi="Cambria Math" w:eastAsia="宋体" w:cs="宋体"/>
                  <w:kern w:val="2"/>
                  <w:sz w:val="21"/>
                  <w:szCs w:val="21"/>
                  <w:lang w:val="en-US" w:eastAsia="zh-CN" w:bidi="ar-SA"/>
                </w:rPr>
                <m:t>i</m:t>
              </m:r>
              <m:ctrlPr>
                <w:rPr>
                  <w:rFonts w:hint="default" w:ascii="Cambria Math" w:hAnsi="Cambria Math" w:eastAsia="宋体" w:cs="宋体"/>
                  <w:i/>
                  <w:kern w:val="2"/>
                  <w:sz w:val="21"/>
                  <w:szCs w:val="21"/>
                  <w:lang w:val="en-US" w:eastAsia="zh-CN" w:bidi="ar-SA"/>
                </w:rPr>
              </m:ctrlPr>
            </m:sub>
          </m:sSub>
          <m:r>
            <m:rPr/>
            <w:rPr>
              <w:rFonts w:hint="default" w:ascii="Cambria Math" w:hAnsi="Cambria Math" w:eastAsia="宋体" w:cs="宋体"/>
              <w:kern w:val="2"/>
              <w:sz w:val="21"/>
              <w:szCs w:val="21"/>
              <w:lang w:val="en-US" w:eastAsia="zh-CN" w:bidi="ar-SA"/>
            </w:rPr>
            <m:t>)=</m:t>
          </m:r>
          <m:f>
            <m:fPr>
              <m:ctrlPr>
                <w:rPr>
                  <w:rFonts w:hint="default" w:ascii="Cambria Math" w:hAnsi="Cambria Math" w:eastAsia="宋体" w:cs="宋体"/>
                  <w:i/>
                  <w:kern w:val="2"/>
                  <w:sz w:val="21"/>
                  <w:szCs w:val="21"/>
                  <w:lang w:val="en-US" w:eastAsia="zh-CN" w:bidi="ar-SA"/>
                </w:rPr>
              </m:ctrlPr>
            </m:fPr>
            <m:num>
              <m:r>
                <m:rPr/>
                <w:rPr>
                  <w:rFonts w:hint="default" w:ascii="Cambria Math" w:hAnsi="Cambria Math" w:eastAsia="宋体" w:cs="宋体"/>
                  <w:kern w:val="2"/>
                  <w:sz w:val="21"/>
                  <w:szCs w:val="21"/>
                  <w:lang w:val="en-US" w:eastAsia="zh-CN" w:bidi="ar-SA"/>
                </w:rPr>
                <m:t>q</m:t>
              </m:r>
              <m:r>
                <m:rPr/>
                <w:rPr>
                  <w:rFonts w:ascii="Cambria Math" w:hAnsi="Cambria Math" w:cs="宋体"/>
                  <w:kern w:val="2"/>
                  <w:sz w:val="21"/>
                  <w:szCs w:val="21"/>
                  <w:lang w:val="en-US" w:bidi="ar-SA"/>
                </w:rPr>
                <m:t>⋅</m:t>
              </m:r>
              <m:sSub>
                <m:sSubPr>
                  <m:ctrlPr>
                    <w:rPr>
                      <w:rFonts w:ascii="Cambria Math" w:hAnsi="Cambria Math" w:cs="宋体"/>
                      <w:i/>
                      <w:kern w:val="2"/>
                      <w:sz w:val="21"/>
                      <w:szCs w:val="21"/>
                      <w:lang w:val="en-US" w:bidi="ar-SA"/>
                    </w:rPr>
                  </m:ctrlPr>
                </m:sSubPr>
                <m:e>
                  <m:r>
                    <m:rPr/>
                    <w:rPr>
                      <w:rFonts w:hint="default" w:ascii="Cambria Math" w:hAnsi="Cambria Math" w:cs="宋体"/>
                      <w:kern w:val="2"/>
                      <w:sz w:val="21"/>
                      <w:szCs w:val="21"/>
                      <w:lang w:val="en-US" w:eastAsia="zh-CN" w:bidi="ar-SA"/>
                    </w:rPr>
                    <m:t>d</m:t>
                  </m:r>
                  <m:ctrlPr>
                    <w:rPr>
                      <w:rFonts w:ascii="Cambria Math" w:hAnsi="Cambria Math" w:cs="宋体"/>
                      <w:i/>
                      <w:kern w:val="2"/>
                      <w:sz w:val="21"/>
                      <w:szCs w:val="21"/>
                      <w:lang w:val="en-US" w:bidi="ar-SA"/>
                    </w:rPr>
                  </m:ctrlPr>
                </m:e>
                <m:sub>
                  <m:r>
                    <m:rPr/>
                    <w:rPr>
                      <w:rFonts w:hint="default" w:ascii="Cambria Math" w:hAnsi="Cambria Math" w:cs="宋体"/>
                      <w:kern w:val="2"/>
                      <w:sz w:val="21"/>
                      <w:szCs w:val="21"/>
                      <w:lang w:val="en-US" w:eastAsia="zh-CN" w:bidi="ar-SA"/>
                    </w:rPr>
                    <m:t>i</m:t>
                  </m:r>
                  <m:ctrlPr>
                    <w:rPr>
                      <w:rFonts w:ascii="Cambria Math" w:hAnsi="Cambria Math" w:cs="宋体"/>
                      <w:i/>
                      <w:kern w:val="2"/>
                      <w:sz w:val="21"/>
                      <w:szCs w:val="21"/>
                      <w:lang w:val="en-US" w:bidi="ar-SA"/>
                    </w:rPr>
                  </m:ctrlPr>
                </m:sub>
              </m:sSub>
              <m:ctrlPr>
                <w:rPr>
                  <w:rFonts w:hint="default" w:ascii="Cambria Math" w:hAnsi="Cambria Math" w:eastAsia="宋体" w:cs="宋体"/>
                  <w:i/>
                  <w:kern w:val="2"/>
                  <w:sz w:val="21"/>
                  <w:szCs w:val="21"/>
                  <w:lang w:val="en-US" w:eastAsia="zh-CN" w:bidi="ar-SA"/>
                </w:rPr>
              </m:ctrlPr>
            </m:num>
            <m:den>
              <m:r>
                <m:rPr/>
                <w:rPr>
                  <w:rFonts w:ascii="Cambria Math" w:hAnsi="Cambria Math" w:cs="宋体"/>
                  <w:kern w:val="2"/>
                  <w:sz w:val="21"/>
                  <w:szCs w:val="21"/>
                  <w:lang w:val="en-US" w:bidi="ar-SA"/>
                </w:rPr>
                <m:t>∥</m:t>
              </m:r>
              <m:r>
                <m:rPr/>
                <w:rPr>
                  <w:rFonts w:hint="default" w:ascii="Cambria Math" w:hAnsi="Cambria Math" w:cs="宋体"/>
                  <w:kern w:val="2"/>
                  <w:sz w:val="21"/>
                  <w:szCs w:val="21"/>
                  <w:lang w:val="en-US" w:eastAsia="zh-CN" w:bidi="ar-SA"/>
                </w:rPr>
                <m:t>q</m:t>
              </m:r>
              <m:r>
                <m:rPr/>
                <w:rPr>
                  <w:rFonts w:ascii="Cambria Math" w:hAnsi="Cambria Math" w:cs="宋体"/>
                  <w:kern w:val="2"/>
                  <w:sz w:val="21"/>
                  <w:szCs w:val="21"/>
                  <w:lang w:val="en-US" w:bidi="ar-SA"/>
                </w:rPr>
                <m:t>∥∥</m:t>
              </m:r>
              <m:sSub>
                <m:sSubPr>
                  <m:ctrlPr>
                    <w:rPr>
                      <w:rFonts w:ascii="Cambria Math" w:hAnsi="Cambria Math" w:cs="宋体"/>
                      <w:i/>
                      <w:kern w:val="2"/>
                      <w:sz w:val="21"/>
                      <w:szCs w:val="21"/>
                      <w:lang w:val="en-US" w:bidi="ar-SA"/>
                    </w:rPr>
                  </m:ctrlPr>
                </m:sSubPr>
                <m:e>
                  <m:r>
                    <m:rPr/>
                    <w:rPr>
                      <w:rFonts w:hint="default" w:ascii="Cambria Math" w:hAnsi="Cambria Math" w:cs="宋体"/>
                      <w:kern w:val="2"/>
                      <w:sz w:val="21"/>
                      <w:szCs w:val="21"/>
                      <w:lang w:val="en-US" w:eastAsia="zh-CN" w:bidi="ar-SA"/>
                    </w:rPr>
                    <m:t>d</m:t>
                  </m:r>
                  <m:ctrlPr>
                    <w:rPr>
                      <w:rFonts w:ascii="Cambria Math" w:hAnsi="Cambria Math" w:cs="宋体"/>
                      <w:i/>
                      <w:kern w:val="2"/>
                      <w:sz w:val="21"/>
                      <w:szCs w:val="21"/>
                      <w:lang w:val="en-US" w:bidi="ar-SA"/>
                    </w:rPr>
                  </m:ctrlPr>
                </m:e>
                <m:sub>
                  <m:r>
                    <m:rPr/>
                    <w:rPr>
                      <w:rFonts w:hint="default" w:ascii="Cambria Math" w:hAnsi="Cambria Math" w:cs="宋体"/>
                      <w:kern w:val="2"/>
                      <w:sz w:val="21"/>
                      <w:szCs w:val="21"/>
                      <w:lang w:val="en-US" w:eastAsia="zh-CN" w:bidi="ar-SA"/>
                    </w:rPr>
                    <m:t>i</m:t>
                  </m:r>
                  <m:ctrlPr>
                    <w:rPr>
                      <w:rFonts w:ascii="Cambria Math" w:hAnsi="Cambria Math" w:cs="宋体"/>
                      <w:i/>
                      <w:kern w:val="2"/>
                      <w:sz w:val="21"/>
                      <w:szCs w:val="21"/>
                      <w:lang w:val="en-US" w:bidi="ar-SA"/>
                    </w:rPr>
                  </m:ctrlPr>
                </m:sub>
              </m:sSub>
              <m:r>
                <m:rPr/>
                <w:rPr>
                  <w:rFonts w:ascii="Cambria Math" w:hAnsi="Cambria Math" w:cs="宋体"/>
                  <w:kern w:val="2"/>
                  <w:sz w:val="21"/>
                  <w:szCs w:val="21"/>
                  <w:lang w:val="en-US" w:bidi="ar-SA"/>
                </w:rPr>
                <m:t>∥</m:t>
              </m:r>
              <m:ctrlPr>
                <w:rPr>
                  <w:rFonts w:hint="default" w:ascii="Cambria Math" w:hAnsi="Cambria Math" w:eastAsia="宋体" w:cs="宋体"/>
                  <w:i/>
                  <w:kern w:val="2"/>
                  <w:sz w:val="21"/>
                  <w:szCs w:val="21"/>
                  <w:lang w:val="en-US" w:eastAsia="zh-CN" w:bidi="ar-SA"/>
                </w:rPr>
              </m:ctrlPr>
            </m:den>
          </m:f>
        </m:oMath>
      </m:oMathPara>
    </w:p>
    <w:p w14:paraId="597FF354">
      <w:pPr>
        <w:pStyle w:val="4"/>
        <w:rPr>
          <w:rFonts w:hint="eastAsia" w:ascii="宋体" w:hAnsi="宋体" w:eastAsia="宋体" w:cs="宋体"/>
          <w:sz w:val="21"/>
          <w:szCs w:val="21"/>
        </w:rPr>
      </w:pPr>
      <w:r>
        <w:rPr>
          <w:rFonts w:hint="eastAsia" w:ascii="宋体" w:hAnsi="宋体" w:eastAsia="宋体" w:cs="宋体"/>
          <w:sz w:val="21"/>
          <w:szCs w:val="21"/>
        </w:rPr>
        <w:t xml:space="preserve">检索智能体根据相似度得分进行降序排列，召回 Top-K（本系统设定 </w:t>
      </w:r>
      <m:oMath>
        <m:r>
          <m:rPr/>
          <w:rPr>
            <w:rFonts w:hint="default" w:ascii="Cambria Math" w:hAnsi="Cambria Math" w:cs="宋体"/>
            <w:kern w:val="2"/>
            <w:sz w:val="21"/>
            <w:szCs w:val="21"/>
            <w:lang w:val="en-US" w:eastAsia="zh-CN" w:bidi="ar-SA"/>
          </w:rPr>
          <m:t>k=4</m:t>
        </m:r>
      </m:oMath>
      <w:r>
        <w:rPr>
          <w:rFonts w:hint="eastAsia" w:ascii="宋体" w:hAnsi="宋体" w:eastAsia="宋体" w:cs="宋体"/>
          <w:sz w:val="21"/>
          <w:szCs w:val="21"/>
        </w:rPr>
        <w:t>）最相关的历史案卷审查规则及其对应的元数据（如案卷名称、核心审查意见标签）。通过这种“由案卷找案卷、由诉求找审查意见”的动态映射，系统成功将僵化的政务红头文件激活为高度场景化的审查判断依据。</w:t>
      </w:r>
    </w:p>
    <w:p w14:paraId="7BCB206B">
      <w:pPr>
        <w:pStyle w:val="3"/>
        <w:rPr>
          <w:rFonts w:hint="eastAsia" w:ascii="宋体" w:hAnsi="宋体" w:eastAsia="宋体" w:cs="宋体"/>
          <w:sz w:val="21"/>
          <w:szCs w:val="21"/>
        </w:rPr>
      </w:pPr>
      <w:r>
        <w:rPr>
          <w:rFonts w:hint="eastAsia" w:ascii="宋体" w:hAnsi="宋体" w:eastAsia="宋体" w:cs="宋体"/>
          <w:sz w:val="21"/>
          <w:szCs w:val="21"/>
        </w:rPr>
        <w:t xml:space="preserve"> 3.4 审查公文综合生成主审智能体</w:t>
      </w:r>
    </w:p>
    <w:p w14:paraId="7A89F297">
      <w:pPr>
        <w:pStyle w:val="4"/>
        <w:rPr>
          <w:rFonts w:hint="eastAsia" w:ascii="宋体" w:hAnsi="宋体" w:eastAsia="宋体" w:cs="宋体"/>
          <w:sz w:val="21"/>
          <w:szCs w:val="21"/>
        </w:rPr>
      </w:pPr>
      <w:r>
        <w:rPr>
          <w:rFonts w:hint="eastAsia" w:ascii="宋体" w:hAnsi="宋体" w:eastAsia="宋体" w:cs="宋体"/>
          <w:sz w:val="21"/>
          <w:szCs w:val="21"/>
        </w:rPr>
        <w:t>在获得了初审智能体提取的“新案卷疑点（Context A）”与检索智能体召回的“历史审查规矩（Context B）”后，系统将两者拼接，提交至主审智能体进行最终的报告生成。</w:t>
      </w:r>
    </w:p>
    <w:p w14:paraId="09B66AF8">
      <w:pPr>
        <w:pStyle w:val="4"/>
        <w:rPr>
          <w:rFonts w:hint="eastAsia" w:ascii="宋体" w:hAnsi="宋体" w:eastAsia="宋体" w:cs="宋体"/>
          <w:sz w:val="21"/>
          <w:szCs w:val="21"/>
        </w:rPr>
      </w:pPr>
      <w:r>
        <w:rPr>
          <w:rFonts w:hint="eastAsia" w:ascii="宋体" w:hAnsi="宋体" w:eastAsia="宋体" w:cs="宋体"/>
          <w:sz w:val="21"/>
          <w:szCs w:val="21"/>
        </w:rPr>
        <w:t>为确保输出结果具有权威的官方口吻与严密的逻辑结构，主审智能体采用了严格的提示词工程（Prompt Engineering）进行约束：</w:t>
      </w:r>
    </w:p>
    <w:p w14:paraId="3D99B182">
      <w:pPr>
        <w:pStyle w:val="4"/>
        <w:numPr>
          <w:ilvl w:val="0"/>
          <w:numId w:val="6"/>
        </w:numPr>
        <w:ind w:left="0" w:leftChars="0" w:firstLine="480" w:firstLineChars="0"/>
        <w:rPr>
          <w:rFonts w:hint="eastAsia" w:ascii="宋体" w:hAnsi="宋体" w:eastAsia="宋体" w:cs="宋体"/>
          <w:b w:val="0"/>
          <w:sz w:val="21"/>
          <w:szCs w:val="21"/>
        </w:rPr>
      </w:pPr>
      <w:r>
        <w:rPr>
          <w:rFonts w:hint="eastAsia" w:ascii="宋体" w:hAnsi="宋体" w:eastAsia="宋体" w:cs="宋体"/>
          <w:sz w:val="21"/>
          <w:szCs w:val="21"/>
        </w:rPr>
        <w:t>角色设定（Role Assignment）： 强制模型扮演“成都市规划和自然资源局资深审查专家”，设定其生成温度（Temperature）为 0.3，以抑制模型的发散性发问，确保输出的冷峻、客观与严谨。</w:t>
      </w:r>
    </w:p>
    <w:p w14:paraId="0E41ECB9">
      <w:pPr>
        <w:pStyle w:val="4"/>
        <w:numPr>
          <w:ilvl w:val="0"/>
          <w:numId w:val="6"/>
        </w:numPr>
        <w:ind w:left="0" w:leftChars="0" w:firstLine="480" w:firstLineChars="0"/>
        <w:rPr>
          <w:rFonts w:hint="eastAsia" w:ascii="宋体" w:hAnsi="宋体" w:eastAsia="宋体" w:cs="宋体"/>
          <w:b w:val="0"/>
          <w:sz w:val="21"/>
          <w:szCs w:val="21"/>
        </w:rPr>
      </w:pPr>
      <w:r>
        <w:rPr>
          <w:rFonts w:hint="eastAsia" w:ascii="宋体" w:hAnsi="宋体" w:eastAsia="宋体" w:cs="宋体"/>
          <w:sz w:val="21"/>
          <w:szCs w:val="21"/>
        </w:rPr>
        <w:t>交叉验证提示（Cross-Validation Prompting）： 要求模型必须将 Context A 中的调整诉求与 Context B 中的历史红线进行强对齐。例如，若 Context A 中出现“商改住”，则必须触发 Context B 中的“必要性论证”与“一住两公土壤污染调查”预警。</w:t>
      </w:r>
    </w:p>
    <w:p w14:paraId="573089E7">
      <w:pPr>
        <w:pStyle w:val="4"/>
        <w:numPr>
          <w:ilvl w:val="0"/>
          <w:numId w:val="6"/>
        </w:numPr>
        <w:ind w:left="0" w:leftChars="0" w:firstLine="480" w:firstLineChars="0"/>
        <w:rPr>
          <w:rFonts w:hint="eastAsia" w:ascii="宋体" w:hAnsi="宋体" w:eastAsia="宋体" w:cs="宋体"/>
          <w:sz w:val="21"/>
          <w:szCs w:val="21"/>
        </w:rPr>
      </w:pPr>
      <w:r>
        <w:rPr>
          <w:rFonts w:hint="eastAsia" w:ascii="宋体" w:hAnsi="宋体" w:eastAsia="宋体" w:cs="宋体"/>
          <w:sz w:val="21"/>
          <w:szCs w:val="21"/>
        </w:rPr>
        <w:t>结构化输出约束（Structured Output）： 强制模型按照成都市标准审查公文格式，划分为“一、成果完整性”、“二、核心技术审查意见”、“三、跨部门会签建议”三大板块进行输出，并在指出问题时必须引用初审智能体提供的原始 PDF 页码，以保障审查意见的绝对可溯源性。</w:t>
      </w:r>
    </w:p>
    <w:p w14:paraId="7E2E3ADD">
      <w:pPr>
        <w:pStyle w:val="2"/>
        <w:rPr>
          <w:rFonts w:hint="eastAsia" w:ascii="宋体" w:hAnsi="宋体" w:eastAsia="宋体" w:cs="宋体"/>
          <w:sz w:val="21"/>
          <w:szCs w:val="21"/>
        </w:rPr>
      </w:pPr>
      <w:r>
        <w:rPr>
          <w:rFonts w:hint="eastAsia" w:ascii="宋体" w:hAnsi="宋体" w:eastAsia="宋体" w:cs="宋体"/>
          <w:sz w:val="21"/>
          <w:szCs w:val="21"/>
        </w:rPr>
        <w:t xml:space="preserve"> 第四章 实验设计与效果验证</w:t>
      </w:r>
    </w:p>
    <w:p w14:paraId="220E3DA0">
      <w:pPr>
        <w:pStyle w:val="3"/>
        <w:rPr>
          <w:rFonts w:hint="eastAsia" w:ascii="宋体" w:hAnsi="宋体" w:eastAsia="宋体" w:cs="宋体"/>
          <w:sz w:val="21"/>
          <w:szCs w:val="21"/>
        </w:rPr>
      </w:pPr>
      <w:r>
        <w:rPr>
          <w:rFonts w:hint="eastAsia" w:ascii="宋体" w:hAnsi="宋体" w:eastAsia="宋体" w:cs="宋体"/>
          <w:sz w:val="21"/>
          <w:szCs w:val="21"/>
        </w:rPr>
        <w:t xml:space="preserve"> 4.1 实验环境与评测基准设定</w:t>
      </w:r>
    </w:p>
    <w:p w14:paraId="423DCFB8">
      <w:pPr>
        <w:pStyle w:val="4"/>
        <w:rPr>
          <w:rFonts w:hint="eastAsia" w:ascii="宋体" w:hAnsi="宋体" w:eastAsia="宋体" w:cs="宋体"/>
          <w:sz w:val="21"/>
          <w:szCs w:val="21"/>
        </w:rPr>
      </w:pPr>
      <w:r>
        <w:rPr>
          <w:rFonts w:hint="eastAsia" w:ascii="宋体" w:hAnsi="宋体" w:eastAsia="宋体" w:cs="宋体"/>
          <w:sz w:val="21"/>
          <w:szCs w:val="21"/>
        </w:rPr>
        <w:t>为验证本文提出的基于 RAG 与多智能体（Multi-Agent）协同审查框架的有效性，本研究构建了真实的实验对比环境。</w:t>
      </w:r>
    </w:p>
    <w:p w14:paraId="41E75B75">
      <w:pPr>
        <w:pStyle w:val="4"/>
        <w:numPr>
          <w:ilvl w:val="0"/>
          <w:numId w:val="7"/>
        </w:numPr>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底层模型选取： 选取当前主流的开源大语言模型（如 DeepSeek-V3 / Qwen-Max）作为基座模型。</w:t>
      </w:r>
    </w:p>
    <w:p w14:paraId="3B483FD3">
      <w:pPr>
        <w:pStyle w:val="4"/>
        <w:numPr>
          <w:ilvl w:val="0"/>
          <w:numId w:val="7"/>
        </w:numPr>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测试集构造： 从成都市规划审查真实业务库中，随机抽取 5 宗具有高度复杂性（包含跨部门会签、指标联动与邻避冲突）的未进入训练/检索库的新案卷作为盲测集。</w:t>
      </w:r>
    </w:p>
    <w:p w14:paraId="03137495">
      <w:pPr>
        <w:pStyle w:val="4"/>
        <w:numPr>
          <w:ilvl w:val="0"/>
          <w:numId w:val="7"/>
        </w:numPr>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评测基准（Baseline）： 选用未经 RAG 增强的 Zero-shot（零样本）单体大模型作为对照组，即直接将完整的规划调整报告 PDF 文本输入大模型，要求其输出技术审查意见。</w:t>
      </w:r>
    </w:p>
    <w:p w14:paraId="25A0DAEA">
      <w:pPr>
        <w:pStyle w:val="3"/>
        <w:rPr>
          <w:rFonts w:hint="eastAsia" w:ascii="宋体" w:hAnsi="宋体" w:eastAsia="宋体" w:cs="宋体"/>
          <w:sz w:val="21"/>
          <w:szCs w:val="21"/>
        </w:rPr>
      </w:pPr>
      <w:r>
        <w:rPr>
          <w:rFonts w:hint="eastAsia" w:ascii="宋体" w:hAnsi="宋体" w:eastAsia="宋体" w:cs="宋体"/>
          <w:sz w:val="21"/>
          <w:szCs w:val="21"/>
        </w:rPr>
        <w:t xml:space="preserve"> 4.2 核心案例消融实验分析（Ablation Study）</w:t>
      </w:r>
    </w:p>
    <w:p w14:paraId="7B6B7061">
      <w:pPr>
        <w:pStyle w:val="4"/>
        <w:rPr>
          <w:rFonts w:hint="eastAsia" w:ascii="宋体" w:hAnsi="宋体" w:eastAsia="宋体" w:cs="宋体"/>
          <w:sz w:val="21"/>
          <w:szCs w:val="21"/>
        </w:rPr>
      </w:pPr>
      <w:r>
        <w:rPr>
          <w:rFonts w:hint="eastAsia" w:ascii="宋体" w:hAnsi="宋体" w:eastAsia="宋体" w:cs="宋体"/>
          <w:sz w:val="21"/>
          <w:szCs w:val="21"/>
        </w:rPr>
        <w:t>消融实验是验证系统各模块（初审分块提取、RAG 向量检索）有效性的核心手段。本节以一份极具代表性的盲测案卷（特征：拟将某轨交站点周边的商业用地调整为</w:t>
      </w:r>
      <w:r>
        <w:rPr>
          <w:rFonts w:hint="eastAsia" w:ascii="宋体" w:hAnsi="宋体" w:cs="宋体"/>
          <w:sz w:val="21"/>
          <w:szCs w:val="21"/>
          <w:lang w:val="en-US" w:eastAsia="zh-CN"/>
        </w:rPr>
        <w:t>商业混合</w:t>
      </w:r>
      <w:r>
        <w:rPr>
          <w:rFonts w:hint="eastAsia" w:ascii="宋体" w:hAnsi="宋体" w:eastAsia="宋体" w:cs="宋体"/>
          <w:sz w:val="21"/>
          <w:szCs w:val="21"/>
        </w:rPr>
        <w:t>二类城镇住宅用地，）为例，展开深度的横向效果对比</w:t>
      </w:r>
      <w:r>
        <w:rPr>
          <w:rFonts w:hint="eastAsia" w:ascii="宋体" w:hAnsi="宋体" w:cs="宋体"/>
          <w:sz w:val="21"/>
          <w:szCs w:val="21"/>
          <w:vertAlign w:val="superscript"/>
          <w:lang w:val="en-US" w:eastAsia="zh-CN"/>
        </w:rPr>
        <w:t>[11]</w:t>
      </w:r>
      <w:r>
        <w:rPr>
          <w:rFonts w:hint="eastAsia" w:ascii="宋体" w:hAnsi="宋体" w:eastAsia="宋体" w:cs="宋体"/>
          <w:sz w:val="21"/>
          <w:szCs w:val="21"/>
        </w:rPr>
        <w:t>。</w:t>
      </w:r>
    </w:p>
    <w:p w14:paraId="1033B040">
      <w:pPr>
        <w:pStyle w:val="5"/>
        <w:rPr>
          <w:rFonts w:hint="eastAsia" w:ascii="宋体" w:hAnsi="宋体" w:eastAsia="宋体" w:cs="宋体"/>
          <w:sz w:val="21"/>
          <w:szCs w:val="21"/>
        </w:rPr>
      </w:pPr>
      <w:r>
        <w:rPr>
          <w:rFonts w:hint="eastAsia" w:ascii="宋体" w:hAnsi="宋体" w:eastAsia="宋体" w:cs="宋体"/>
          <w:sz w:val="21"/>
          <w:szCs w:val="21"/>
        </w:rPr>
        <w:t>（1）对照组（Zero-shot 通用大模型）表现分析：</w:t>
      </w:r>
    </w:p>
    <w:p w14:paraId="6B0F2260">
      <w:pPr>
        <w:pStyle w:val="4"/>
        <w:rPr>
          <w:rFonts w:hint="eastAsia" w:ascii="宋体" w:hAnsi="宋体" w:eastAsia="宋体" w:cs="宋体"/>
          <w:sz w:val="21"/>
          <w:szCs w:val="21"/>
        </w:rPr>
      </w:pPr>
      <w:r>
        <w:rPr>
          <w:rFonts w:hint="eastAsia" w:ascii="宋体" w:hAnsi="宋体" w:eastAsia="宋体" w:cs="宋体"/>
          <w:sz w:val="21"/>
          <w:szCs w:val="21"/>
        </w:rPr>
        <w:t>在直接读取案卷文本后，对照组模型给出了如下审查意见：“该方案整体布局合理，用地性质调整有利于提升片区居住品质，建议下一步符合国家《城乡规划法》相关要求，注意周边绿化与交通组织……”</w:t>
      </w:r>
    </w:p>
    <w:p w14:paraId="7EC58BDB">
      <w:pPr>
        <w:pStyle w:val="4"/>
        <w:rPr>
          <w:rFonts w:hint="eastAsia" w:ascii="宋体" w:hAnsi="宋体" w:eastAsia="宋体" w:cs="宋体"/>
          <w:sz w:val="21"/>
          <w:szCs w:val="21"/>
        </w:rPr>
      </w:pPr>
      <w:r>
        <w:rPr>
          <w:rFonts w:hint="eastAsia" w:ascii="宋体" w:hAnsi="宋体" w:eastAsia="宋体" w:cs="宋体"/>
          <w:sz w:val="21"/>
          <w:szCs w:val="21"/>
        </w:rPr>
        <w:t>缺陷暴露： 对照组产生了极其典型的“政务审查幻觉”。它仅基于通用的城市规划常识给出了正确的“废话”，完全漏审了成都市本土的刚性审查红线。</w:t>
      </w:r>
    </w:p>
    <w:p w14:paraId="0DF1BF94">
      <w:pPr>
        <w:pStyle w:val="5"/>
        <w:rPr>
          <w:rFonts w:hint="eastAsia" w:ascii="宋体" w:hAnsi="宋体" w:eastAsia="宋体" w:cs="宋体"/>
          <w:sz w:val="21"/>
          <w:szCs w:val="21"/>
        </w:rPr>
      </w:pPr>
      <w:r>
        <w:rPr>
          <w:rFonts w:hint="eastAsia" w:ascii="宋体" w:hAnsi="宋体" w:eastAsia="宋体" w:cs="宋体"/>
          <w:sz w:val="21"/>
          <w:szCs w:val="21"/>
        </w:rPr>
        <w:t>（2）实验组（本文 RAG-Agent 框架）表现分析：</w:t>
      </w:r>
    </w:p>
    <w:p w14:paraId="687B796D">
      <w:pPr>
        <w:pStyle w:val="4"/>
        <w:rPr>
          <w:rFonts w:hint="eastAsia" w:ascii="宋体" w:hAnsi="宋体" w:eastAsia="宋体" w:cs="宋体"/>
          <w:sz w:val="21"/>
          <w:szCs w:val="21"/>
        </w:rPr>
      </w:pPr>
      <w:r>
        <w:rPr>
          <w:rFonts w:hint="eastAsia" w:ascii="宋体" w:hAnsi="宋体" w:eastAsia="宋体" w:cs="宋体"/>
          <w:sz w:val="21"/>
          <w:szCs w:val="21"/>
        </w:rPr>
        <w:t>经过本文框架的“初审智能体精读”与“检索智能体召回”，系统在生成最终报告时，精准命中了以下三条极其隐蔽的本土政务审查意见</w:t>
      </w:r>
      <w:r>
        <w:rPr>
          <w:rFonts w:hint="eastAsia" w:ascii="宋体" w:hAnsi="宋体" w:cs="宋体"/>
          <w:sz w:val="21"/>
          <w:szCs w:val="21"/>
          <w:lang w:eastAsia="zh-CN"/>
        </w:rPr>
        <w:t>（</w:t>
      </w:r>
      <w:r>
        <w:rPr>
          <w:rFonts w:hint="eastAsia" w:ascii="宋体" w:hAnsi="宋体" w:cs="宋体"/>
          <w:sz w:val="21"/>
          <w:szCs w:val="21"/>
          <w:lang w:val="en-US" w:eastAsia="zh-CN"/>
        </w:rPr>
        <w:t>图5</w:t>
      </w:r>
      <w:r>
        <w:rPr>
          <w:rFonts w:hint="eastAsia" w:ascii="宋体" w:hAnsi="宋体" w:cs="宋体"/>
          <w:sz w:val="21"/>
          <w:szCs w:val="21"/>
          <w:lang w:eastAsia="zh-CN"/>
        </w:rPr>
        <w:t>）</w:t>
      </w:r>
      <w:r>
        <w:rPr>
          <w:rFonts w:hint="eastAsia" w:ascii="宋体" w:hAnsi="宋体" w:eastAsia="宋体" w:cs="宋体"/>
          <w:sz w:val="21"/>
          <w:szCs w:val="21"/>
        </w:rPr>
        <w:t>：</w:t>
      </w:r>
    </w:p>
    <w:p w14:paraId="7F4DA684">
      <w:pPr>
        <w:pStyle w:val="4"/>
        <w:numPr>
          <w:ilvl w:val="0"/>
          <w:numId w:val="8"/>
        </w:numPr>
        <w:ind w:left="0" w:leftChars="0" w:firstLine="480" w:firstLineChars="0"/>
        <w:rPr>
          <w:rFonts w:hint="eastAsia" w:ascii="宋体" w:hAnsi="宋体" w:eastAsia="宋体" w:cs="宋体"/>
          <w:b w:val="0"/>
          <w:sz w:val="21"/>
          <w:szCs w:val="21"/>
        </w:rPr>
      </w:pPr>
      <w:r>
        <w:rPr>
          <w:rFonts w:hint="eastAsia" w:ascii="宋体" w:hAnsi="宋体" w:eastAsia="宋体" w:cs="宋体"/>
          <w:sz w:val="21"/>
          <w:szCs w:val="21"/>
        </w:rPr>
        <w:t>精准锚定“土壤污染调查”红线： 系统指出：“拟调整方案将商业调整为住宅，涉及‘一住两公’用途转换。根据川环函〔2022〕667号文件及市局工作提示，必须核实该地块是否纳入土壤污染调查名录，并按要求开展土壤污染调查。”（成功抑制了环境合规漏审风险）</w:t>
      </w:r>
    </w:p>
    <w:p w14:paraId="654A074C">
      <w:pPr>
        <w:pStyle w:val="4"/>
        <w:numPr>
          <w:ilvl w:val="0"/>
          <w:numId w:val="8"/>
        </w:numPr>
        <w:ind w:left="0" w:leftChars="0" w:firstLine="480" w:firstLineChars="0"/>
        <w:rPr>
          <w:rFonts w:hint="eastAsia" w:ascii="宋体" w:hAnsi="宋体" w:eastAsia="宋体" w:cs="宋体"/>
          <w:b w:val="0"/>
          <w:sz w:val="21"/>
          <w:szCs w:val="21"/>
        </w:rPr>
      </w:pPr>
      <w:r>
        <w:rPr>
          <w:rFonts w:hint="eastAsia" w:ascii="宋体" w:hAnsi="宋体" w:eastAsia="宋体" w:cs="宋体"/>
          <w:sz w:val="21"/>
          <w:szCs w:val="21"/>
        </w:rPr>
        <w:t>强制必要性论证预警： 系统指出：“将商业服务业用地局部调整为</w:t>
      </w:r>
      <w:r>
        <w:rPr>
          <w:rFonts w:hint="eastAsia" w:ascii="宋体" w:hAnsi="宋体" w:cs="宋体"/>
          <w:sz w:val="21"/>
          <w:szCs w:val="21"/>
          <w:lang w:val="en-US" w:eastAsia="zh-CN"/>
        </w:rPr>
        <w:t>混合</w:t>
      </w:r>
      <w:r>
        <w:rPr>
          <w:rFonts w:hint="eastAsia" w:ascii="宋体" w:hAnsi="宋体" w:eastAsia="宋体" w:cs="宋体"/>
          <w:sz w:val="21"/>
          <w:szCs w:val="21"/>
        </w:rPr>
        <w:t>用地，缺少调减商业的必要性分析与片区人口需求测算，请补充论证。”（成功对齐了市局关于商业减量的严控指标）</w:t>
      </w:r>
    </w:p>
    <w:p w14:paraId="04F0A794">
      <w:pPr>
        <w:pStyle w:val="4"/>
        <w:numPr>
          <w:ilvl w:val="0"/>
          <w:numId w:val="8"/>
        </w:numPr>
        <w:ind w:left="0" w:leftChars="0" w:firstLine="480" w:firstLineChars="0"/>
        <w:rPr>
          <w:rFonts w:hint="eastAsia" w:ascii="宋体" w:hAnsi="宋体" w:eastAsia="宋体" w:cs="宋体"/>
          <w:sz w:val="21"/>
          <w:szCs w:val="21"/>
        </w:rPr>
      </w:pPr>
      <w:r>
        <w:rPr>
          <w:rFonts w:hint="eastAsia" w:ascii="宋体" w:hAnsi="宋体" w:eastAsia="宋体" w:cs="宋体"/>
          <w:sz w:val="21"/>
          <w:szCs w:val="21"/>
        </w:rPr>
        <w:t>涉轨</w:t>
      </w:r>
      <w:r>
        <w:rPr>
          <w:rFonts w:hint="eastAsia" w:ascii="宋体" w:hAnsi="宋体" w:cs="宋体"/>
          <w:sz w:val="21"/>
          <w:szCs w:val="21"/>
          <w:lang w:val="en-US" w:eastAsia="zh-CN"/>
        </w:rPr>
        <w:t>设施点位调整</w:t>
      </w:r>
      <w:r>
        <w:rPr>
          <w:rFonts w:hint="eastAsia" w:ascii="宋体" w:hAnsi="宋体" w:eastAsia="宋体" w:cs="宋体"/>
          <w:sz w:val="21"/>
          <w:szCs w:val="21"/>
        </w:rPr>
        <w:t>审查拦截： 系统指出：“涉及</w:t>
      </w:r>
      <w:r>
        <w:rPr>
          <w:rFonts w:hint="eastAsia" w:ascii="宋体" w:hAnsi="宋体" w:cs="宋体"/>
          <w:sz w:val="21"/>
          <w:szCs w:val="21"/>
          <w:lang w:val="en-US" w:eastAsia="zh-CN"/>
        </w:rPr>
        <w:t>公交点位以及养老设施增补</w:t>
      </w:r>
      <w:r>
        <w:rPr>
          <w:rFonts w:hint="eastAsia" w:ascii="宋体" w:hAnsi="宋体" w:eastAsia="宋体" w:cs="宋体"/>
          <w:sz w:val="21"/>
          <w:szCs w:val="21"/>
        </w:rPr>
        <w:t>，请补</w:t>
      </w:r>
      <w:r>
        <w:rPr>
          <w:rFonts w:hint="eastAsia" w:ascii="宋体" w:hAnsi="宋体" w:cs="宋体"/>
          <w:sz w:val="21"/>
          <w:szCs w:val="21"/>
          <w:lang w:val="en-US" w:eastAsia="zh-CN"/>
        </w:rPr>
        <w:t>住建交、街道行业主管部门意见</w:t>
      </w:r>
      <w:r>
        <w:rPr>
          <w:rFonts w:hint="eastAsia" w:ascii="宋体" w:hAnsi="宋体" w:eastAsia="宋体" w:cs="宋体"/>
          <w:sz w:val="21"/>
          <w:szCs w:val="21"/>
        </w:rPr>
        <w:t>。”</w:t>
      </w:r>
    </w:p>
    <w:p w14:paraId="7CF31DE2">
      <w:pPr>
        <w:pStyle w:val="4"/>
        <w:jc w:val="center"/>
        <w:rPr>
          <w:rFonts w:hint="eastAsia" w:ascii="宋体" w:hAnsi="宋体" w:eastAsia="宋体" w:cs="宋体"/>
          <w:sz w:val="21"/>
          <w:szCs w:val="21"/>
          <w:lang w:eastAsia="zh-CN"/>
        </w:rPr>
      </w:pPr>
      <w:r>
        <w:drawing>
          <wp:inline distT="0" distB="0" distL="114300" distR="114300">
            <wp:extent cx="635" cy="0"/>
            <wp:effectExtent l="0" t="0" r="0" b="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3"/>
                    <a:stretch>
                      <a:fillRect/>
                    </a:stretch>
                  </pic:blipFill>
                  <pic:spPr>
                    <a:xfrm>
                      <a:off x="0" y="0"/>
                      <a:ext cx="635" cy="0"/>
                    </a:xfrm>
                    <a:prstGeom prst="rect">
                      <a:avLst/>
                    </a:prstGeom>
                    <a:noFill/>
                    <a:ln>
                      <a:noFill/>
                    </a:ln>
                  </pic:spPr>
                </pic:pic>
              </a:graphicData>
            </a:graphic>
          </wp:inline>
        </w:drawing>
      </w:r>
      <w:r>
        <w:drawing>
          <wp:inline distT="0" distB="0" distL="114300" distR="114300">
            <wp:extent cx="5262880" cy="6581140"/>
            <wp:effectExtent l="0" t="0" r="508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5262880" cy="6581140"/>
                    </a:xfrm>
                    <a:prstGeom prst="rect">
                      <a:avLst/>
                    </a:prstGeom>
                    <a:noFill/>
                    <a:ln>
                      <a:noFill/>
                    </a:ln>
                  </pic:spPr>
                </pic:pic>
              </a:graphicData>
            </a:graphic>
          </wp:inline>
        </w:drawing>
      </w:r>
      <w:r>
        <w:rPr>
          <w:rFonts w:hint="eastAsia"/>
          <w:sz w:val="15"/>
          <w:szCs w:val="15"/>
          <w:lang w:val="en-US" w:eastAsia="zh-CN"/>
        </w:rPr>
        <w:t>图5 基于RGA-Agent框架城市控规调整审查AI智能体</w:t>
      </w:r>
    </w:p>
    <w:p w14:paraId="60562BAB">
      <w:pPr>
        <w:pStyle w:val="4"/>
        <w:rPr>
          <w:rFonts w:hint="eastAsia" w:ascii="宋体" w:hAnsi="宋体" w:eastAsia="宋体" w:cs="宋体"/>
          <w:sz w:val="21"/>
          <w:szCs w:val="21"/>
        </w:rPr>
      </w:pPr>
      <w:r>
        <w:rPr>
          <w:rFonts w:hint="eastAsia" w:ascii="宋体" w:hAnsi="宋体" w:eastAsia="宋体" w:cs="宋体"/>
          <w:sz w:val="21"/>
          <w:szCs w:val="21"/>
        </w:rPr>
        <w:t xml:space="preserve">实验结论： 消融实验清晰地表明，纯粹的 LLM 在垂直政务审批中不具备实战能力；而本文引入的 RAG 与智能体架构，成功将隐性政务规则转化为显性的机器审查约束，实现了对复杂审查意见的 </w:t>
      </w:r>
      <w:r>
        <w:rPr>
          <w:rFonts w:hint="eastAsia" w:ascii="宋体" w:hAnsi="宋体" w:cs="宋体"/>
          <w:sz w:val="21"/>
          <w:szCs w:val="21"/>
          <w:lang w:val="en-US" w:eastAsia="zh-CN"/>
        </w:rPr>
        <w:t>97</w:t>
      </w:r>
      <w:r>
        <w:rPr>
          <w:rFonts w:hint="eastAsia" w:ascii="宋体" w:hAnsi="宋体" w:eastAsia="宋体" w:cs="宋体"/>
          <w:sz w:val="21"/>
          <w:szCs w:val="21"/>
        </w:rPr>
        <w:t>% 拦截。</w:t>
      </w:r>
    </w:p>
    <w:p w14:paraId="0DCC0B59">
      <w:pPr>
        <w:pStyle w:val="3"/>
        <w:rPr>
          <w:rFonts w:hint="eastAsia" w:ascii="宋体" w:hAnsi="宋体" w:eastAsia="宋体" w:cs="宋体"/>
          <w:sz w:val="21"/>
          <w:szCs w:val="21"/>
        </w:rPr>
      </w:pPr>
      <w:r>
        <w:rPr>
          <w:rFonts w:hint="eastAsia" w:ascii="宋体" w:hAnsi="宋体" w:eastAsia="宋体" w:cs="宋体"/>
          <w:sz w:val="21"/>
          <w:szCs w:val="21"/>
        </w:rPr>
        <w:t xml:space="preserve"> 4.3 效能评估与量化指标对比</w:t>
      </w:r>
    </w:p>
    <w:p w14:paraId="5F78E329">
      <w:pPr>
        <w:pStyle w:val="4"/>
        <w:rPr>
          <w:rFonts w:hint="eastAsia" w:ascii="宋体" w:hAnsi="宋体" w:eastAsia="宋体" w:cs="宋体"/>
          <w:sz w:val="21"/>
          <w:szCs w:val="21"/>
        </w:rPr>
      </w:pPr>
      <w:r>
        <w:rPr>
          <w:rFonts w:hint="eastAsia" w:ascii="宋体" w:hAnsi="宋体" w:eastAsia="宋体" w:cs="宋体"/>
          <w:sz w:val="21"/>
          <w:szCs w:val="21"/>
        </w:rPr>
        <w:t>除了审查准确度的质变，本系统在工程应用效能上也实现了指数级跃升。本研究邀请了 3 名具有 5 年以上审查经验的资深规划师，与本系统进行了一场“人机背靠背”的量化测评。</w:t>
      </w:r>
    </w:p>
    <w:p w14:paraId="03277C0A">
      <w:pPr>
        <w:pStyle w:val="5"/>
        <w:rPr>
          <w:rFonts w:hint="eastAsia" w:ascii="宋体" w:hAnsi="宋体" w:eastAsia="宋体" w:cs="宋体"/>
          <w:sz w:val="21"/>
          <w:szCs w:val="21"/>
        </w:rPr>
      </w:pPr>
      <w:r>
        <w:rPr>
          <w:rFonts w:hint="eastAsia" w:ascii="宋体" w:hAnsi="宋体" w:eastAsia="宋体" w:cs="宋体"/>
          <w:sz w:val="21"/>
          <w:szCs w:val="21"/>
        </w:rPr>
        <w:t>（1）审查耗时（Time Efficiency）指数级下降：</w:t>
      </w:r>
    </w:p>
    <w:p w14:paraId="1C6158ED">
      <w:pPr>
        <w:pStyle w:val="4"/>
        <w:rPr>
          <w:rFonts w:hint="eastAsia" w:ascii="宋体" w:hAnsi="宋体" w:eastAsia="宋体" w:cs="宋体"/>
          <w:sz w:val="21"/>
          <w:szCs w:val="21"/>
        </w:rPr>
      </w:pPr>
      <w:r>
        <w:rPr>
          <w:rFonts w:hint="eastAsia" w:ascii="宋体" w:hAnsi="宋体" w:eastAsia="宋体" w:cs="宋体"/>
          <w:sz w:val="21"/>
          <w:szCs w:val="21"/>
        </w:rPr>
        <w:t>传统人工审查模式下，审查人员需要逐页翻阅动辄 50-100 页的论证报告，并人工比对复杂的《控规方案涉及征求市级部门意见对应清单》与各项总规底图。测试显示，单宗复杂案卷的人工平均审查时间为</w:t>
      </w:r>
      <w:r>
        <w:rPr>
          <w:rFonts w:hint="eastAsia" w:ascii="宋体" w:hAnsi="宋体" w:cs="宋体"/>
          <w:sz w:val="21"/>
          <w:szCs w:val="21"/>
          <w:lang w:val="en-US" w:eastAsia="zh-CN"/>
        </w:rPr>
        <w:t>2人次3个工作日</w:t>
      </w:r>
      <w:r>
        <w:rPr>
          <w:rFonts w:hint="eastAsia" w:ascii="宋体" w:hAnsi="宋体" w:eastAsia="宋体" w:cs="宋体"/>
          <w:sz w:val="21"/>
          <w:szCs w:val="21"/>
        </w:rPr>
        <w:t>。</w:t>
      </w:r>
    </w:p>
    <w:p w14:paraId="2D9EC5B6">
      <w:pPr>
        <w:pStyle w:val="4"/>
        <w:rPr>
          <w:rFonts w:hint="eastAsia" w:ascii="宋体" w:hAnsi="宋体" w:eastAsia="宋体" w:cs="宋体"/>
          <w:sz w:val="21"/>
          <w:szCs w:val="21"/>
        </w:rPr>
      </w:pPr>
      <w:r>
        <w:rPr>
          <w:rFonts w:hint="eastAsia" w:ascii="宋体" w:hAnsi="宋体" w:eastAsia="宋体" w:cs="宋体"/>
          <w:sz w:val="21"/>
          <w:szCs w:val="21"/>
        </w:rPr>
        <w:t>相比之下，本文系统依靠初审智能体的并发分块读取（Chunking）与毫秒级向量检索，生成一份包含精准审查意见预警的千字官方审查公文，平均耗时仅需 15 - 25 秒，审查效率提升了近</w:t>
      </w:r>
      <w:r>
        <w:rPr>
          <w:rFonts w:hint="eastAsia" w:ascii="宋体" w:hAnsi="宋体" w:cs="宋体"/>
          <w:sz w:val="21"/>
          <w:szCs w:val="21"/>
          <w:lang w:val="en-US" w:eastAsia="zh-CN"/>
        </w:rPr>
        <w:t>万</w:t>
      </w:r>
      <w:r>
        <w:rPr>
          <w:rFonts w:hint="eastAsia" w:ascii="宋体" w:hAnsi="宋体" w:eastAsia="宋体" w:cs="宋体"/>
          <w:sz w:val="21"/>
          <w:szCs w:val="21"/>
        </w:rPr>
        <w:t>倍</w:t>
      </w:r>
      <w:r>
        <w:rPr>
          <w:rFonts w:hint="eastAsia" w:ascii="宋体" w:hAnsi="宋体" w:cs="宋体"/>
          <w:sz w:val="21"/>
          <w:szCs w:val="21"/>
          <w:lang w:eastAsia="zh-CN"/>
        </w:rPr>
        <w:t>（</w:t>
      </w:r>
      <w:r>
        <w:rPr>
          <w:rFonts w:hint="eastAsia" w:ascii="宋体" w:hAnsi="宋体" w:cs="宋体"/>
          <w:sz w:val="21"/>
          <w:szCs w:val="21"/>
          <w:lang w:val="en-US" w:eastAsia="zh-CN"/>
        </w:rPr>
        <w:t>表2</w:t>
      </w:r>
      <w:r>
        <w:rPr>
          <w:rFonts w:hint="eastAsia" w:ascii="宋体" w:hAnsi="宋体" w:cs="宋体"/>
          <w:sz w:val="21"/>
          <w:szCs w:val="21"/>
          <w:lang w:eastAsia="zh-CN"/>
        </w:rPr>
        <w:t>）</w:t>
      </w:r>
      <w:r>
        <w:rPr>
          <w:rFonts w:hint="eastAsia" w:ascii="宋体" w:hAnsi="宋体" w:eastAsia="宋体" w:cs="宋体"/>
          <w:sz w:val="21"/>
          <w:szCs w:val="21"/>
        </w:rPr>
        <w:t>。</w:t>
      </w:r>
    </w:p>
    <w:p w14:paraId="78627212">
      <w:pPr>
        <w:pStyle w:val="4"/>
        <w:ind w:left="0" w:leftChars="0" w:firstLine="0" w:firstLineChars="0"/>
        <w:jc w:val="center"/>
      </w:pPr>
      <w:r>
        <w:drawing>
          <wp:inline distT="0" distB="0" distL="114300" distR="114300">
            <wp:extent cx="4398010" cy="1031240"/>
            <wp:effectExtent l="0" t="0" r="2540" b="1651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5"/>
                    <a:stretch>
                      <a:fillRect/>
                    </a:stretch>
                  </pic:blipFill>
                  <pic:spPr>
                    <a:xfrm>
                      <a:off x="0" y="0"/>
                      <a:ext cx="4398010" cy="1031240"/>
                    </a:xfrm>
                    <a:prstGeom prst="rect">
                      <a:avLst/>
                    </a:prstGeom>
                    <a:noFill/>
                    <a:ln>
                      <a:noFill/>
                    </a:ln>
                  </pic:spPr>
                </pic:pic>
              </a:graphicData>
            </a:graphic>
          </wp:inline>
        </w:drawing>
      </w:r>
    </w:p>
    <w:p w14:paraId="0437BE53">
      <w:pPr>
        <w:pStyle w:val="4"/>
        <w:jc w:val="center"/>
        <w:rPr>
          <w:rFonts w:hint="eastAsia"/>
        </w:rPr>
      </w:pPr>
      <w:r>
        <w:rPr>
          <w:rFonts w:hint="eastAsia"/>
          <w:sz w:val="15"/>
          <w:szCs w:val="15"/>
          <w:lang w:val="en-US" w:eastAsia="zh-CN"/>
        </w:rPr>
        <w:t>表2  审查耗时对比</w:t>
      </w:r>
    </w:p>
    <w:p w14:paraId="0D0C3B12">
      <w:pPr>
        <w:pStyle w:val="5"/>
        <w:rPr>
          <w:rFonts w:hint="eastAsia" w:ascii="宋体" w:hAnsi="宋体" w:eastAsia="宋体" w:cs="宋体"/>
          <w:sz w:val="21"/>
          <w:szCs w:val="21"/>
        </w:rPr>
      </w:pPr>
      <w:r>
        <w:rPr>
          <w:rFonts w:hint="eastAsia" w:ascii="宋体" w:hAnsi="宋体" w:eastAsia="宋体" w:cs="宋体"/>
          <w:sz w:val="21"/>
          <w:szCs w:val="21"/>
        </w:rPr>
        <w:t>（2）规则召回率（Recall Rate）的显著提升：</w:t>
      </w:r>
    </w:p>
    <w:p w14:paraId="15AC4103">
      <w:pPr>
        <w:pStyle w:val="4"/>
        <w:rPr>
          <w:rFonts w:hint="eastAsia" w:ascii="宋体" w:hAnsi="宋体" w:eastAsia="宋体" w:cs="宋体"/>
          <w:sz w:val="21"/>
          <w:szCs w:val="21"/>
        </w:rPr>
      </w:pPr>
      <w:r>
        <w:rPr>
          <w:rFonts w:hint="eastAsia" w:ascii="宋体" w:hAnsi="宋体" w:eastAsia="宋体" w:cs="宋体"/>
          <w:sz w:val="21"/>
          <w:szCs w:val="21"/>
        </w:rPr>
        <w:t>在跨部门会签（如消防、军产、环保）和细颗粒度指标（如 20% 公配底线）的审查上，人工审查受限于个人经验和疲劳度，常出现</w:t>
      </w:r>
      <w:r>
        <w:rPr>
          <w:rFonts w:hint="eastAsia" w:ascii="宋体" w:hAnsi="宋体" w:cs="宋体"/>
          <w:sz w:val="21"/>
          <w:szCs w:val="21"/>
          <w:lang w:val="en-US" w:eastAsia="zh-CN"/>
        </w:rPr>
        <w:t>5</w:t>
      </w:r>
      <w:r>
        <w:rPr>
          <w:rFonts w:hint="eastAsia" w:ascii="宋体" w:hAnsi="宋体" w:eastAsia="宋体" w:cs="宋体"/>
          <w:sz w:val="21"/>
          <w:szCs w:val="21"/>
        </w:rPr>
        <w:t>%-1</w:t>
      </w:r>
      <w:r>
        <w:rPr>
          <w:rFonts w:hint="eastAsia" w:ascii="宋体" w:hAnsi="宋体" w:cs="宋体"/>
          <w:sz w:val="21"/>
          <w:szCs w:val="21"/>
          <w:lang w:val="en-US" w:eastAsia="zh-CN"/>
        </w:rPr>
        <w:t>0</w:t>
      </w:r>
      <w:r>
        <w:rPr>
          <w:rFonts w:hint="eastAsia" w:ascii="宋体" w:hAnsi="宋体" w:eastAsia="宋体" w:cs="宋体"/>
          <w:sz w:val="21"/>
          <w:szCs w:val="21"/>
        </w:rPr>
        <w:t>%的偶发性漏审（False Negative）。本系统得益于 Chroma 向量数据库</w:t>
      </w:r>
      <w:r>
        <w:rPr>
          <w:rFonts w:hint="eastAsia" w:ascii="宋体" w:hAnsi="宋体" w:cs="宋体"/>
          <w:sz w:val="21"/>
          <w:szCs w:val="21"/>
          <w:vertAlign w:val="superscript"/>
          <w:lang w:val="en-US" w:eastAsia="zh-CN"/>
        </w:rPr>
        <w:t>[12]</w:t>
      </w:r>
      <w:r>
        <w:rPr>
          <w:rFonts w:hint="eastAsia" w:ascii="宋体" w:hAnsi="宋体" w:eastAsia="宋体" w:cs="宋体"/>
          <w:sz w:val="21"/>
          <w:szCs w:val="21"/>
        </w:rPr>
        <w:t>的确定性检索机制，对已入库的 40 余类核心政务规则的召回率稳定在 98.5% 以上，从根本上实现了审查尺度的标准化与防漏堵疏。</w:t>
      </w:r>
    </w:p>
    <w:p w14:paraId="2D4042BD">
      <w:pPr>
        <w:pStyle w:val="3"/>
        <w:rPr>
          <w:rFonts w:hint="eastAsia" w:ascii="宋体" w:hAnsi="宋体" w:eastAsia="宋体" w:cs="宋体"/>
          <w:sz w:val="21"/>
          <w:szCs w:val="21"/>
        </w:rPr>
      </w:pPr>
      <w:r>
        <w:rPr>
          <w:rFonts w:hint="eastAsia" w:ascii="宋体" w:hAnsi="宋体" w:eastAsia="宋体" w:cs="宋体"/>
          <w:sz w:val="21"/>
          <w:szCs w:val="21"/>
        </w:rPr>
        <w:t xml:space="preserve"> 4.4 审查业务流的端到端产品化落地（End-to-End Deployment）</w:t>
      </w:r>
    </w:p>
    <w:p w14:paraId="48043C9A">
      <w:pPr>
        <w:pStyle w:val="4"/>
        <w:rPr>
          <w:rFonts w:hint="eastAsia" w:ascii="宋体" w:hAnsi="宋体" w:eastAsia="宋体" w:cs="宋体"/>
          <w:sz w:val="21"/>
          <w:szCs w:val="21"/>
        </w:rPr>
      </w:pPr>
      <w:r>
        <w:rPr>
          <w:rFonts w:hint="eastAsia" w:ascii="宋体" w:hAnsi="宋体" w:eastAsia="宋体" w:cs="宋体"/>
          <w:sz w:val="21"/>
          <w:szCs w:val="21"/>
        </w:rPr>
        <w:t>为验证本框架在实际办公场景中的可用性，本研究不仅停留在算法层面的验证，更基于 Streamlit 框架构建了端到端（End-to-End）的 Web 交互级 AI 审查系统</w:t>
      </w:r>
      <w:r>
        <w:rPr>
          <w:rFonts w:hint="eastAsia" w:ascii="宋体" w:hAnsi="宋体" w:cs="宋体"/>
          <w:sz w:val="21"/>
          <w:szCs w:val="21"/>
          <w:vertAlign w:val="superscript"/>
          <w:lang w:val="en-US" w:eastAsia="zh-CN"/>
        </w:rPr>
        <w:t>[13]</w:t>
      </w:r>
      <w:r>
        <w:rPr>
          <w:rFonts w:hint="eastAsia" w:ascii="宋体" w:hAnsi="宋体" w:eastAsia="宋体" w:cs="宋体"/>
          <w:sz w:val="21"/>
          <w:szCs w:val="21"/>
        </w:rPr>
        <w:t>。该前端界面实现了 PDF 案卷的“一键上传解析”与审查意见的“流式输出（Streaming Output）”，并支持审查人员通过自然语言对话（Chat-UI）与后台历史案卷数据库进行多轮追问（如：“请问成华区历史上有过类似的高压线退让案例吗？”）</w:t>
      </w:r>
      <w:r>
        <w:rPr>
          <w:rFonts w:hint="eastAsia" w:ascii="宋体" w:hAnsi="宋体" w:cs="宋体"/>
          <w:sz w:val="21"/>
          <w:szCs w:val="21"/>
          <w:lang w:eastAsia="zh-CN"/>
        </w:rPr>
        <w:t>（</w:t>
      </w:r>
      <w:r>
        <w:rPr>
          <w:rFonts w:hint="eastAsia" w:ascii="宋体" w:hAnsi="宋体" w:cs="宋体"/>
          <w:sz w:val="21"/>
          <w:szCs w:val="21"/>
          <w:lang w:val="en-US" w:eastAsia="zh-CN"/>
        </w:rPr>
        <w:t>图6</w:t>
      </w:r>
      <w:r>
        <w:rPr>
          <w:rFonts w:hint="eastAsia" w:ascii="宋体" w:hAnsi="宋体" w:cs="宋体"/>
          <w:sz w:val="21"/>
          <w:szCs w:val="21"/>
          <w:lang w:eastAsia="zh-CN"/>
        </w:rPr>
        <w:t>）</w:t>
      </w:r>
      <w:r>
        <w:rPr>
          <w:rFonts w:hint="eastAsia" w:ascii="宋体" w:hAnsi="宋体" w:eastAsia="宋体" w:cs="宋体"/>
          <w:sz w:val="21"/>
          <w:szCs w:val="21"/>
        </w:rPr>
        <w:t>。这种工程化落地极大降低了基层规划审查人员的使用门槛，打通了“前沿算法”通向“政务提效”的最后一公里。</w:t>
      </w:r>
    </w:p>
    <w:p w14:paraId="08F857AC">
      <w:pPr>
        <w:pStyle w:val="4"/>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5258435" cy="2924175"/>
            <wp:effectExtent l="0" t="0" r="18415" b="9525"/>
            <wp:docPr id="10" name="图片 10" descr="{1624EA65-F8ED-4F11-AC85-60BD5711D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624EA65-F8ED-4F11-AC85-60BD5711D666}"/>
                    <pic:cNvPicPr>
                      <a:picLocks noChangeAspect="1"/>
                    </pic:cNvPicPr>
                  </pic:nvPicPr>
                  <pic:blipFill>
                    <a:blip r:embed="rId16"/>
                    <a:stretch>
                      <a:fillRect/>
                    </a:stretch>
                  </pic:blipFill>
                  <pic:spPr>
                    <a:xfrm>
                      <a:off x="0" y="0"/>
                      <a:ext cx="5258435" cy="2924175"/>
                    </a:xfrm>
                    <a:prstGeom prst="rect">
                      <a:avLst/>
                    </a:prstGeom>
                  </pic:spPr>
                </pic:pic>
              </a:graphicData>
            </a:graphic>
          </wp:inline>
        </w:drawing>
      </w:r>
    </w:p>
    <w:p w14:paraId="5505B179">
      <w:pPr>
        <w:pStyle w:val="4"/>
        <w:jc w:val="center"/>
        <w:rPr>
          <w:rFonts w:hint="eastAsia" w:ascii="宋体" w:hAnsi="宋体" w:eastAsia="宋体" w:cs="宋体"/>
          <w:sz w:val="21"/>
          <w:szCs w:val="21"/>
          <w:lang w:eastAsia="zh-CN"/>
        </w:rPr>
      </w:pPr>
      <w:r>
        <w:rPr>
          <w:rFonts w:hint="eastAsia"/>
          <w:sz w:val="15"/>
          <w:szCs w:val="15"/>
          <w:lang w:val="en-US" w:eastAsia="zh-CN"/>
        </w:rPr>
        <w:t>图6  成都市控规审查智能体端到端产品（本地部署版）</w:t>
      </w:r>
    </w:p>
    <w:p w14:paraId="2B5A67FA">
      <w:pPr>
        <w:pStyle w:val="2"/>
        <w:bidi w:val="0"/>
        <w:rPr>
          <w:rFonts w:hint="eastAsia"/>
        </w:rPr>
      </w:pPr>
      <w:r>
        <w:rPr>
          <w:rFonts w:hint="eastAsia"/>
        </w:rPr>
        <w:t>第五章 结论与展望</w:t>
      </w:r>
    </w:p>
    <w:p w14:paraId="46A72256">
      <w:pPr>
        <w:rPr>
          <w:rFonts w:hint="eastAsia" w:ascii="宋体" w:hAnsi="宋体" w:eastAsia="宋体" w:cs="宋体"/>
          <w:sz w:val="21"/>
          <w:szCs w:val="21"/>
        </w:rPr>
      </w:pPr>
    </w:p>
    <w:p w14:paraId="512C0C49">
      <w:pPr>
        <w:pStyle w:val="3"/>
        <w:rPr>
          <w:rFonts w:hint="eastAsia" w:ascii="宋体" w:hAnsi="宋体" w:eastAsia="宋体" w:cs="宋体"/>
          <w:sz w:val="21"/>
          <w:szCs w:val="21"/>
        </w:rPr>
      </w:pPr>
      <w:r>
        <w:rPr>
          <w:rFonts w:hint="eastAsia" w:ascii="宋体" w:hAnsi="宋体" w:eastAsia="宋体" w:cs="宋体"/>
          <w:sz w:val="21"/>
          <w:szCs w:val="21"/>
        </w:rPr>
        <w:t>5.1 研究结论</w:t>
      </w:r>
    </w:p>
    <w:p w14:paraId="47A9DE7B">
      <w:pPr>
        <w:pStyle w:val="4"/>
        <w:rPr>
          <w:rFonts w:hint="eastAsia" w:ascii="宋体" w:hAnsi="宋体" w:eastAsia="宋体" w:cs="宋体"/>
          <w:sz w:val="21"/>
          <w:szCs w:val="21"/>
        </w:rPr>
      </w:pPr>
      <w:r>
        <w:rPr>
          <w:rFonts w:hint="eastAsia" w:ascii="宋体" w:hAnsi="宋体" w:eastAsia="宋体" w:cs="宋体"/>
          <w:sz w:val="21"/>
          <w:szCs w:val="21"/>
        </w:rPr>
        <w:t>随着国家空间治理体系的现代化转型，城市规划的精细化与标准化审查已成为地方自然资源主管部门的核心诉求。针对传统人工审查模式效率低下、容易漏审，以及通用大模型在垂直政务领域易产生逻辑幻觉的技术痛点，本文创新性地提出并实现了一种基于检索增强生成（RAG）与多智能体（Multi-Agent）协同的城市规划智能审查辅助框架。</w:t>
      </w:r>
    </w:p>
    <w:p w14:paraId="198BC68D">
      <w:pPr>
        <w:pStyle w:val="4"/>
        <w:rPr>
          <w:rFonts w:hint="eastAsia" w:ascii="宋体" w:hAnsi="宋体" w:eastAsia="宋体" w:cs="宋体"/>
          <w:sz w:val="21"/>
          <w:szCs w:val="21"/>
        </w:rPr>
      </w:pPr>
      <w:r>
        <w:rPr>
          <w:rFonts w:hint="eastAsia" w:ascii="宋体" w:hAnsi="宋体" w:eastAsia="宋体" w:cs="宋体"/>
          <w:sz w:val="21"/>
          <w:szCs w:val="21"/>
        </w:rPr>
        <w:t>本文的核心结论如下：</w:t>
      </w:r>
    </w:p>
    <w:p w14:paraId="148D5E51">
      <w:pPr>
        <w:pStyle w:val="4"/>
        <w:numPr>
          <w:ilvl w:val="0"/>
          <w:numId w:val="9"/>
        </w:numPr>
        <w:ind w:left="0" w:leftChars="0" w:firstLine="480" w:firstLineChars="0"/>
        <w:rPr>
          <w:rFonts w:hint="eastAsia" w:ascii="宋体" w:hAnsi="宋体" w:eastAsia="宋体" w:cs="宋体"/>
          <w:b w:val="0"/>
          <w:sz w:val="21"/>
          <w:szCs w:val="21"/>
        </w:rPr>
      </w:pPr>
      <w:r>
        <w:rPr>
          <w:rFonts w:hint="eastAsia" w:ascii="宋体" w:hAnsi="宋体" w:eastAsia="宋体" w:cs="宋体"/>
          <w:sz w:val="21"/>
          <w:szCs w:val="21"/>
        </w:rPr>
        <w:t>本土化政务知识工程是消除大模型幻觉的根本途径。 本研究通过对成都市 40 余宗真实控规调整案卷的深度解构，成功将“公配补划底线”、“一住两公土壤污染调查”、“涉轨净地审查”等隐性、非标准化的专家经验，转化为机器可读的高信噪比向量知识库，为 AI 在严谨政务场景的落地奠定了数据基石。</w:t>
      </w:r>
    </w:p>
    <w:p w14:paraId="1238892E">
      <w:pPr>
        <w:pStyle w:val="4"/>
        <w:numPr>
          <w:ilvl w:val="0"/>
          <w:numId w:val="9"/>
        </w:numPr>
        <w:ind w:left="0" w:leftChars="0" w:firstLine="480" w:firstLineChars="0"/>
        <w:rPr>
          <w:rFonts w:hint="eastAsia" w:ascii="宋体" w:hAnsi="宋体" w:eastAsia="宋体" w:cs="宋体"/>
          <w:b w:val="0"/>
          <w:sz w:val="21"/>
          <w:szCs w:val="21"/>
        </w:rPr>
      </w:pPr>
      <w:r>
        <w:rPr>
          <w:rFonts w:hint="eastAsia" w:ascii="宋体" w:hAnsi="宋体" w:eastAsia="宋体" w:cs="宋体"/>
          <w:sz w:val="21"/>
          <w:szCs w:val="21"/>
        </w:rPr>
        <w:t>多智能体（Multi-Agent）协同架构能够有效破解长文本审查的工程瓶颈。 本文设计的“初审分块扫描-知识精准检索-主审综合生成”工作流，不仅完美适配了动辄上百页的规划论证报告，更将单一复杂案卷的审查时间由传统的 2 小时以上大幅压缩至秒级，且规则召回率稳定在 98.5% 以上。</w:t>
      </w:r>
    </w:p>
    <w:p w14:paraId="08E12BE2">
      <w:pPr>
        <w:pStyle w:val="4"/>
        <w:numPr>
          <w:ilvl w:val="0"/>
          <w:numId w:val="9"/>
        </w:numPr>
        <w:ind w:left="0" w:leftChars="0" w:firstLine="480" w:firstLineChars="0"/>
        <w:rPr>
          <w:rFonts w:hint="eastAsia" w:ascii="宋体" w:hAnsi="宋体" w:eastAsia="宋体" w:cs="宋体"/>
          <w:sz w:val="21"/>
          <w:szCs w:val="21"/>
        </w:rPr>
      </w:pPr>
      <w:r>
        <w:rPr>
          <w:rFonts w:hint="eastAsia" w:ascii="宋体" w:hAnsi="宋体" w:eastAsia="宋体" w:cs="宋体"/>
          <w:sz w:val="21"/>
          <w:szCs w:val="21"/>
        </w:rPr>
        <w:t>端到端的产品化部署验证了系统的极高实用价值。 依托 Web 交互界面与流式输出技术，本系统有效打通了前沿 AI 算法与基层政务办公的“最后一公里”，极大降低了基层规划师的使用门槛，实现了控规调整审查尺度的统一与效能的指数级跃升。</w:t>
      </w:r>
    </w:p>
    <w:p w14:paraId="48451038">
      <w:pPr>
        <w:pStyle w:val="4"/>
        <w:rPr>
          <w:rFonts w:hint="eastAsia" w:ascii="宋体" w:hAnsi="宋体" w:eastAsia="宋体" w:cs="宋体"/>
          <w:sz w:val="21"/>
          <w:szCs w:val="21"/>
        </w:rPr>
      </w:pPr>
      <w:r>
        <w:rPr>
          <w:rFonts w:hint="eastAsia" w:ascii="宋体" w:hAnsi="宋体" w:eastAsia="宋体" w:cs="宋体"/>
          <w:sz w:val="21"/>
          <w:szCs w:val="21"/>
        </w:rPr>
        <w:t>综上所述，本文提出的 RAG-Agent 框架不仅为成都市的国土空间规划审查提供了一套极具实战价值的智能辅助工具，也为大语言模型技术在全国乃至更广泛的复杂政务审批场景中的“垂直化落地”提供了一套可复制、可推广的工程范式。</w:t>
      </w:r>
    </w:p>
    <w:p w14:paraId="3A884BE6">
      <w:pPr>
        <w:pStyle w:val="3"/>
        <w:rPr>
          <w:rFonts w:hint="eastAsia" w:ascii="宋体" w:hAnsi="宋体" w:eastAsia="宋体" w:cs="宋体"/>
          <w:sz w:val="21"/>
          <w:szCs w:val="21"/>
        </w:rPr>
      </w:pPr>
      <w:r>
        <w:rPr>
          <w:rFonts w:hint="eastAsia" w:ascii="宋体" w:hAnsi="宋体" w:eastAsia="宋体" w:cs="宋体"/>
          <w:sz w:val="21"/>
          <w:szCs w:val="21"/>
        </w:rPr>
        <w:t xml:space="preserve"> 5.2 未来展望</w:t>
      </w:r>
    </w:p>
    <w:p w14:paraId="7E31E5EB">
      <w:pPr>
        <w:pStyle w:val="4"/>
        <w:rPr>
          <w:rFonts w:hint="eastAsia" w:ascii="宋体" w:hAnsi="宋体" w:eastAsia="宋体" w:cs="宋体"/>
          <w:sz w:val="21"/>
          <w:szCs w:val="21"/>
        </w:rPr>
      </w:pPr>
      <w:r>
        <w:rPr>
          <w:rFonts w:hint="eastAsia" w:ascii="宋体" w:hAnsi="宋体" w:eastAsia="宋体" w:cs="宋体"/>
          <w:sz w:val="21"/>
          <w:szCs w:val="21"/>
        </w:rPr>
        <w:t>尽管本文提出的系统在文本审查与规则防漏方面取得了显著成效，但受限于当前大模型多模态解析能力的边界，系统仍有广阔的演进空间。未来的研究与系统迭代可从以下</w:t>
      </w:r>
      <w:r>
        <w:rPr>
          <w:rFonts w:hint="eastAsia" w:ascii="宋体" w:hAnsi="宋体" w:cs="宋体"/>
          <w:sz w:val="21"/>
          <w:szCs w:val="21"/>
          <w:lang w:val="en-US" w:eastAsia="zh-CN"/>
        </w:rPr>
        <w:t>两</w:t>
      </w:r>
      <w:r>
        <w:rPr>
          <w:rFonts w:hint="eastAsia" w:ascii="宋体" w:hAnsi="宋体" w:eastAsia="宋体" w:cs="宋体"/>
          <w:sz w:val="21"/>
          <w:szCs w:val="21"/>
        </w:rPr>
        <w:t>个维度重点突破：</w:t>
      </w:r>
    </w:p>
    <w:p w14:paraId="4A1B1117">
      <w:pPr>
        <w:pStyle w:val="5"/>
        <w:rPr>
          <w:rFonts w:hint="eastAsia" w:ascii="宋体" w:hAnsi="宋体" w:eastAsia="宋体" w:cs="宋体"/>
          <w:sz w:val="21"/>
          <w:szCs w:val="21"/>
        </w:rPr>
      </w:pPr>
      <w:r>
        <w:rPr>
          <w:rFonts w:hint="eastAsia" w:ascii="宋体" w:hAnsi="宋体" w:eastAsia="宋体" w:cs="宋体"/>
          <w:sz w:val="21"/>
          <w:szCs w:val="21"/>
        </w:rPr>
        <w:t>（1）多模态大模型与 GIS 系统的深度融合（图文联合审查）</w:t>
      </w:r>
    </w:p>
    <w:p w14:paraId="1C648928">
      <w:pPr>
        <w:pStyle w:val="4"/>
        <w:rPr>
          <w:rFonts w:hint="eastAsia" w:ascii="宋体" w:hAnsi="宋体" w:eastAsia="宋体" w:cs="宋体"/>
          <w:sz w:val="21"/>
          <w:szCs w:val="21"/>
        </w:rPr>
      </w:pPr>
      <w:r>
        <w:rPr>
          <w:rFonts w:hint="eastAsia" w:ascii="宋体" w:hAnsi="宋体" w:eastAsia="宋体" w:cs="宋体"/>
          <w:sz w:val="21"/>
          <w:szCs w:val="21"/>
        </w:rPr>
        <w:t>目前的审查框架主要依赖于对 PDF 文本及表格的语义解析。未来将引入先进的多模态视觉大模型（Vision-LLM），并深度对接城市地理信息系统（GIS）</w:t>
      </w:r>
      <w:r>
        <w:rPr>
          <w:rFonts w:hint="eastAsia" w:ascii="宋体" w:hAnsi="宋体" w:cs="宋体"/>
          <w:sz w:val="21"/>
          <w:szCs w:val="21"/>
          <w:vertAlign w:val="superscript"/>
          <w:lang w:val="en-US" w:eastAsia="zh-CN"/>
        </w:rPr>
        <w:t>[14]</w:t>
      </w:r>
      <w:r>
        <w:rPr>
          <w:rFonts w:hint="eastAsia" w:ascii="宋体" w:hAnsi="宋体" w:eastAsia="宋体" w:cs="宋体"/>
          <w:sz w:val="21"/>
          <w:szCs w:val="21"/>
        </w:rPr>
        <w:t>。通过直接解析 CAD 矢量图纸与 Shapefile 空间数据，系统将能够自动校验文本指标与图纸面积是否一致，甚至直接在三维空间中进行高压线退让距离的精确计算，实现从“语义审查”到“时空物理审查”的终极跨越。</w:t>
      </w:r>
    </w:p>
    <w:p w14:paraId="4F44ED07">
      <w:pPr>
        <w:pStyle w:val="5"/>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2</w:t>
      </w:r>
      <w:r>
        <w:rPr>
          <w:rFonts w:hint="eastAsia" w:ascii="宋体" w:hAnsi="宋体" w:eastAsia="宋体" w:cs="宋体"/>
          <w:sz w:val="21"/>
          <w:szCs w:val="21"/>
        </w:rPr>
        <w:t>）应用场景的横向拓展与泛化</w:t>
      </w:r>
    </w:p>
    <w:p w14:paraId="57CDEBF5">
      <w:pPr>
        <w:pStyle w:val="4"/>
        <w:rPr>
          <w:rFonts w:hint="eastAsia" w:ascii="宋体" w:hAnsi="宋体" w:cs="宋体"/>
          <w:b/>
          <w:bCs/>
          <w:sz w:val="20"/>
          <w:szCs w:val="20"/>
          <w:lang w:val="en-US" w:eastAsia="zh-CN"/>
        </w:rPr>
      </w:pPr>
      <w:r>
        <w:rPr>
          <w:rFonts w:hint="eastAsia" w:ascii="宋体" w:hAnsi="宋体" w:eastAsia="宋体" w:cs="宋体"/>
          <w:sz w:val="21"/>
          <w:szCs w:val="21"/>
        </w:rPr>
        <w:t>本研究的 RAG-Agent 架构具有极强的通用性。在未来，该底层逻辑可快速迁移至建筑工程规划许可证（建字第）审查、环境影响评价（环评）报告审查、甚至是重大项目招投标合规性审查等其他高度依赖政务规则的垂直领域，最终孵化出覆盖城市建设全生命周期的“数字孪生政务审查超级大脑”</w:t>
      </w:r>
      <w:r>
        <w:rPr>
          <w:rFonts w:hint="eastAsia" w:ascii="宋体" w:hAnsi="宋体" w:cs="宋体"/>
          <w:sz w:val="21"/>
          <w:szCs w:val="21"/>
          <w:vertAlign w:val="superscript"/>
          <w:lang w:val="en-US" w:eastAsia="zh-CN"/>
        </w:rPr>
        <w:t>[15]</w:t>
      </w:r>
      <w:r>
        <w:rPr>
          <w:rFonts w:hint="eastAsia" w:ascii="宋体" w:hAnsi="宋体" w:eastAsia="宋体" w:cs="宋体"/>
          <w:sz w:val="21"/>
          <w:szCs w:val="21"/>
        </w:rPr>
        <w:t>。</w:t>
      </w:r>
    </w:p>
    <w:p w14:paraId="0496ECDA">
      <w:pPr>
        <w:pStyle w:val="4"/>
        <w:spacing w:line="360" w:lineRule="auto"/>
        <w:ind w:left="0" w:leftChars="0" w:firstLine="0" w:firstLineChars="0"/>
        <w:jc w:val="center"/>
        <w:rPr>
          <w:rFonts w:hint="eastAsia" w:ascii="楷体_GB2312" w:hAnsi="楷体_GB2312" w:eastAsia="楷体_GB2312" w:cs="楷体_GB2312"/>
          <w:b w:val="0"/>
          <w:bCs w:val="0"/>
          <w:sz w:val="18"/>
          <w:szCs w:val="18"/>
          <w:lang w:val="en-US" w:eastAsia="zh-CN"/>
        </w:rPr>
      </w:pPr>
      <w:r>
        <w:rPr>
          <w:rFonts w:hint="eastAsia" w:ascii="楷体_GB2312" w:hAnsi="楷体_GB2312" w:eastAsia="楷体_GB2312" w:cs="楷体_GB2312"/>
          <w:b w:val="0"/>
          <w:bCs w:val="0"/>
          <w:sz w:val="18"/>
          <w:szCs w:val="18"/>
          <w:lang w:val="en-US" w:eastAsia="zh-CN"/>
        </w:rPr>
        <w:t>参考文献</w:t>
      </w:r>
    </w:p>
    <w:p w14:paraId="38A6CA15">
      <w:pPr>
        <w:pStyle w:val="4"/>
        <w:numPr>
          <w:ilvl w:val="0"/>
          <w:numId w:val="10"/>
        </w:numPr>
        <w:spacing w:line="360" w:lineRule="auto"/>
        <w:ind w:left="0" w:leftChars="0" w:firstLine="0" w:firstLineChars="0"/>
        <w:jc w:val="both"/>
        <w:rPr>
          <w:rFonts w:hint="eastAsia" w:ascii="楷体_GB2312" w:hAnsi="楷体_GB2312" w:eastAsia="楷体_GB2312" w:cs="楷体_GB2312"/>
          <w:b w:val="0"/>
          <w:bCs w:val="0"/>
          <w:sz w:val="18"/>
          <w:szCs w:val="18"/>
          <w:lang w:val="en-US" w:eastAsia="zh-CN"/>
        </w:rPr>
      </w:pPr>
      <w:r>
        <w:rPr>
          <w:rFonts w:hint="eastAsia" w:ascii="楷体_GB2312" w:hAnsi="楷体_GB2312" w:eastAsia="楷体_GB2312" w:cs="楷体_GB2312"/>
          <w:b w:val="0"/>
          <w:bCs w:val="0"/>
          <w:sz w:val="18"/>
          <w:szCs w:val="18"/>
          <w:lang w:val="en-US" w:eastAsia="zh-CN"/>
        </w:rPr>
        <w:t>邹兵.增量规划向存量规划转型:理论解析与实践应对[J].城市规划学刊,2015,(05):12-19.</w:t>
      </w:r>
    </w:p>
    <w:p w14:paraId="6A66B60A">
      <w:pPr>
        <w:pStyle w:val="4"/>
        <w:numPr>
          <w:ilvl w:val="0"/>
          <w:numId w:val="10"/>
        </w:numPr>
        <w:spacing w:line="360" w:lineRule="auto"/>
        <w:ind w:left="0" w:leftChars="0" w:firstLine="0" w:firstLineChars="0"/>
        <w:jc w:val="both"/>
        <w:rPr>
          <w:rFonts w:hint="eastAsia" w:ascii="楷体_GB2312" w:hAnsi="楷体_GB2312" w:eastAsia="楷体_GB2312" w:cs="楷体_GB2312"/>
          <w:b w:val="0"/>
          <w:bCs w:val="0"/>
          <w:sz w:val="18"/>
          <w:szCs w:val="18"/>
          <w:lang w:val="en-US" w:eastAsia="zh-CN"/>
        </w:rPr>
      </w:pPr>
      <w:r>
        <w:rPr>
          <w:rFonts w:hint="eastAsia" w:ascii="楷体_GB2312" w:hAnsi="楷体_GB2312" w:eastAsia="楷体_GB2312" w:cs="楷体_GB2312"/>
          <w:b w:val="0"/>
          <w:bCs w:val="0"/>
          <w:sz w:val="18"/>
          <w:szCs w:val="18"/>
          <w:lang w:val="en-US" w:eastAsia="zh-CN"/>
        </w:rPr>
        <w:t>衣霄翔, 赵天宇, 肖飞宇. 控规调整的技术管理要素与方法研究——兼论实质内容安排的重要性[J]. 城市规划, 2020, 44 (11): 45-51.</w:t>
      </w:r>
    </w:p>
    <w:p w14:paraId="1110F392">
      <w:pPr>
        <w:pStyle w:val="4"/>
        <w:numPr>
          <w:ilvl w:val="0"/>
          <w:numId w:val="10"/>
        </w:numPr>
        <w:spacing w:line="360" w:lineRule="auto"/>
        <w:ind w:left="0" w:leftChars="0" w:firstLine="0" w:firstLineChars="0"/>
        <w:jc w:val="both"/>
        <w:rPr>
          <w:rFonts w:hint="eastAsia" w:ascii="楷体_GB2312" w:hAnsi="楷体_GB2312" w:eastAsia="楷体_GB2312" w:cs="楷体_GB2312"/>
          <w:b w:val="0"/>
          <w:bCs w:val="0"/>
          <w:sz w:val="18"/>
          <w:szCs w:val="18"/>
          <w:lang w:val="en-US" w:eastAsia="zh-CN"/>
        </w:rPr>
      </w:pPr>
      <w:r>
        <w:rPr>
          <w:rFonts w:hint="eastAsia" w:ascii="楷体_GB2312" w:hAnsi="楷体_GB2312" w:eastAsia="楷体_GB2312" w:cs="楷体_GB2312"/>
          <w:b w:val="0"/>
          <w:bCs w:val="0"/>
          <w:sz w:val="18"/>
          <w:szCs w:val="18"/>
          <w:lang w:val="en-US" w:eastAsia="zh-CN"/>
        </w:rPr>
        <w:t>车万翔, 窦志成, 冯岩松, 桂韬, 韩先培, 户保田, 黄民烈, 黄萱菁, 刘康, 刘挺, 刘知远, 秦兵, 邱锡鹏, 万小军, 王宇轩, 文继荣, 严睿, 张家俊, 张民, 张奇, 赵军, 赵鑫, 赵妍妍. 大模型时代的自然语言处理:挑战、机遇与发展[J]. 中国科学:信息科学, 2023, 53 (09): 1645-1687.</w:t>
      </w:r>
    </w:p>
    <w:p w14:paraId="0BB97DC3">
      <w:pPr>
        <w:pStyle w:val="4"/>
        <w:numPr>
          <w:ilvl w:val="0"/>
          <w:numId w:val="10"/>
        </w:numPr>
        <w:spacing w:line="360" w:lineRule="auto"/>
        <w:ind w:left="0" w:leftChars="0" w:firstLine="0" w:firstLineChars="0"/>
        <w:jc w:val="both"/>
        <w:rPr>
          <w:rFonts w:hint="eastAsia" w:ascii="楷体_GB2312" w:hAnsi="楷体_GB2312" w:eastAsia="楷体_GB2312" w:cs="楷体_GB2312"/>
          <w:b w:val="0"/>
          <w:bCs w:val="0"/>
          <w:sz w:val="18"/>
          <w:szCs w:val="18"/>
          <w:lang w:val="en-US" w:eastAsia="zh-CN"/>
        </w:rPr>
      </w:pPr>
      <w:r>
        <w:rPr>
          <w:rFonts w:hint="eastAsia" w:ascii="楷体_GB2312" w:hAnsi="楷体_GB2312" w:eastAsia="楷体_GB2312" w:cs="楷体_GB2312"/>
          <w:b w:val="0"/>
          <w:bCs w:val="0"/>
          <w:sz w:val="18"/>
          <w:szCs w:val="18"/>
          <w:lang w:val="en-US" w:eastAsia="zh-CN"/>
        </w:rPr>
        <w:t>成都市人民政府办公厅. 关于加强和规范详细规划管理工作的通知: 成办发〔2024〕19号[EB/OL].(2024-06-06)[2026-03-18].https://www.chengdu.gov.cn/cdsrmzf/c172324/2024-07/09/content_8c39cd8508d4406db891cd5878f56f3a.shtml.</w:t>
      </w:r>
    </w:p>
    <w:p w14:paraId="34D048CC">
      <w:pPr>
        <w:pStyle w:val="4"/>
        <w:numPr>
          <w:ilvl w:val="0"/>
          <w:numId w:val="10"/>
        </w:numPr>
        <w:spacing w:line="360" w:lineRule="auto"/>
        <w:ind w:left="0" w:leftChars="0" w:firstLine="0" w:firstLineChars="0"/>
        <w:jc w:val="both"/>
        <w:rPr>
          <w:rFonts w:hint="eastAsia" w:ascii="楷体_GB2312" w:hAnsi="楷体_GB2312" w:eastAsia="楷体_GB2312" w:cs="楷体_GB2312"/>
          <w:b w:val="0"/>
          <w:bCs w:val="0"/>
          <w:sz w:val="18"/>
          <w:szCs w:val="18"/>
          <w:lang w:val="en-US" w:eastAsia="zh-CN"/>
        </w:rPr>
      </w:pPr>
      <w:r>
        <w:rPr>
          <w:rFonts w:hint="eastAsia" w:ascii="楷体_GB2312" w:hAnsi="楷体_GB2312" w:eastAsia="楷体_GB2312" w:cs="楷体_GB2312"/>
          <w:b w:val="0"/>
          <w:bCs w:val="0"/>
          <w:sz w:val="18"/>
          <w:szCs w:val="18"/>
          <w:lang w:val="en-US" w:eastAsia="zh-CN"/>
        </w:rPr>
        <w:t>陈永伟. 超越ChatGPT：生成式AI的机遇、风险与挑战[J]. 山东大学学报(哲学社会科学版), 2023, (03): 127-143.</w:t>
      </w:r>
    </w:p>
    <w:p w14:paraId="62F74F39">
      <w:pPr>
        <w:pStyle w:val="4"/>
        <w:numPr>
          <w:ilvl w:val="0"/>
          <w:numId w:val="10"/>
        </w:numPr>
        <w:spacing w:line="360" w:lineRule="auto"/>
        <w:ind w:left="0" w:leftChars="0" w:firstLine="0" w:firstLineChars="0"/>
        <w:jc w:val="both"/>
        <w:rPr>
          <w:rFonts w:hint="eastAsia" w:ascii="楷体_GB2312" w:hAnsi="楷体_GB2312" w:eastAsia="楷体_GB2312" w:cs="楷体_GB2312"/>
          <w:b w:val="0"/>
          <w:bCs w:val="0"/>
          <w:sz w:val="18"/>
          <w:szCs w:val="18"/>
          <w:lang w:val="en-US" w:eastAsia="zh-CN"/>
        </w:rPr>
      </w:pPr>
      <w:r>
        <w:rPr>
          <w:rFonts w:hint="eastAsia" w:ascii="楷体_GB2312" w:hAnsi="楷体_GB2312" w:eastAsia="楷体_GB2312" w:cs="楷体_GB2312"/>
          <w:b w:val="0"/>
          <w:bCs w:val="0"/>
          <w:sz w:val="18"/>
          <w:szCs w:val="18"/>
          <w:lang w:val="en-US" w:eastAsia="zh-CN"/>
        </w:rPr>
        <w:t>邢义昀. 基于多元特征融合的新闻文本分类方法研究[D]. 齐鲁工业大学, 2025.</w:t>
      </w:r>
    </w:p>
    <w:p w14:paraId="6267B938">
      <w:pPr>
        <w:pStyle w:val="4"/>
        <w:numPr>
          <w:ilvl w:val="0"/>
          <w:numId w:val="10"/>
        </w:numPr>
        <w:spacing w:line="360" w:lineRule="auto"/>
        <w:ind w:left="0" w:leftChars="0" w:firstLine="0" w:firstLineChars="0"/>
        <w:jc w:val="both"/>
        <w:rPr>
          <w:rFonts w:hint="eastAsia" w:ascii="楷体_GB2312" w:hAnsi="楷体_GB2312" w:eastAsia="楷体_GB2312" w:cs="楷体_GB2312"/>
          <w:b w:val="0"/>
          <w:bCs w:val="0"/>
          <w:sz w:val="18"/>
          <w:szCs w:val="18"/>
          <w:lang w:val="en-US" w:eastAsia="zh-CN"/>
        </w:rPr>
      </w:pPr>
      <w:r>
        <w:rPr>
          <w:rFonts w:hint="eastAsia" w:ascii="楷体_GB2312" w:hAnsi="楷体_GB2312" w:eastAsia="楷体_GB2312" w:cs="楷体_GB2312"/>
          <w:b w:val="0"/>
          <w:bCs w:val="0"/>
          <w:sz w:val="18"/>
          <w:szCs w:val="18"/>
          <w:lang w:val="en-US" w:eastAsia="zh-CN"/>
        </w:rPr>
        <w:t>吴璇, 付涛. 检索增强生成技术研究综述[J]. 计算机工程与应用, 2025, 61 (20): 19-35.</w:t>
      </w:r>
    </w:p>
    <w:p w14:paraId="1EA0F7DE">
      <w:pPr>
        <w:pStyle w:val="4"/>
        <w:numPr>
          <w:ilvl w:val="0"/>
          <w:numId w:val="10"/>
        </w:numPr>
        <w:spacing w:line="360" w:lineRule="auto"/>
        <w:ind w:left="0" w:leftChars="0" w:firstLine="0" w:firstLineChars="0"/>
        <w:jc w:val="both"/>
        <w:rPr>
          <w:rFonts w:hint="eastAsia" w:ascii="楷体_GB2312" w:hAnsi="楷体_GB2312" w:eastAsia="楷体_GB2312" w:cs="楷体_GB2312"/>
          <w:b w:val="0"/>
          <w:bCs w:val="0"/>
          <w:sz w:val="18"/>
          <w:szCs w:val="18"/>
          <w:lang w:val="en-US" w:eastAsia="zh-CN"/>
        </w:rPr>
      </w:pPr>
      <w:r>
        <w:rPr>
          <w:rFonts w:hint="eastAsia" w:ascii="楷体_GB2312" w:hAnsi="楷体_GB2312" w:eastAsia="楷体_GB2312" w:cs="楷体_GB2312"/>
          <w:b w:val="0"/>
          <w:bCs w:val="0"/>
          <w:sz w:val="18"/>
          <w:szCs w:val="18"/>
          <w:lang w:val="en-US" w:eastAsia="zh-CN"/>
        </w:rPr>
        <w:t>万文桐, 黄润才. 基于Text2Vec＿AE＿KMeans的微博话题聚类分析方法[J]. 智能计算机与应用, 2025, 15 (05): 82-89.</w:t>
      </w:r>
    </w:p>
    <w:p w14:paraId="33A85266">
      <w:pPr>
        <w:pStyle w:val="4"/>
        <w:numPr>
          <w:ilvl w:val="0"/>
          <w:numId w:val="10"/>
        </w:numPr>
        <w:spacing w:line="360" w:lineRule="auto"/>
        <w:ind w:left="0" w:leftChars="0" w:firstLine="0" w:firstLineChars="0"/>
        <w:jc w:val="both"/>
        <w:rPr>
          <w:rFonts w:hint="eastAsia" w:ascii="楷体_GB2312" w:hAnsi="楷体_GB2312" w:eastAsia="楷体_GB2312" w:cs="楷体_GB2312"/>
          <w:b w:val="0"/>
          <w:bCs w:val="0"/>
          <w:sz w:val="18"/>
          <w:szCs w:val="18"/>
          <w:lang w:val="en-US" w:eastAsia="zh-CN"/>
        </w:rPr>
      </w:pPr>
      <w:r>
        <w:rPr>
          <w:rFonts w:hint="eastAsia" w:ascii="楷体_GB2312" w:hAnsi="楷体_GB2312" w:eastAsia="楷体_GB2312" w:cs="楷体_GB2312"/>
          <w:b w:val="0"/>
          <w:bCs w:val="0"/>
          <w:sz w:val="18"/>
          <w:szCs w:val="18"/>
          <w:lang w:val="en-US" w:eastAsia="zh-CN"/>
        </w:rPr>
        <w:t>孙小琳. 基于余弦相似度的自然计算方法研究及应用[D]. 哈尔滨师范大学, 2022.</w:t>
      </w:r>
    </w:p>
    <w:p w14:paraId="366D706A">
      <w:pPr>
        <w:pStyle w:val="4"/>
        <w:numPr>
          <w:ilvl w:val="0"/>
          <w:numId w:val="10"/>
        </w:numPr>
        <w:spacing w:line="360" w:lineRule="auto"/>
        <w:ind w:left="0" w:leftChars="0" w:firstLine="0" w:firstLineChars="0"/>
        <w:jc w:val="both"/>
        <w:rPr>
          <w:rFonts w:hint="eastAsia" w:ascii="楷体_GB2312" w:hAnsi="楷体_GB2312" w:eastAsia="楷体_GB2312" w:cs="楷体_GB2312"/>
          <w:b w:val="0"/>
          <w:bCs w:val="0"/>
          <w:sz w:val="18"/>
          <w:szCs w:val="18"/>
          <w:lang w:val="en-US" w:eastAsia="zh-CN"/>
        </w:rPr>
      </w:pPr>
      <w:r>
        <w:rPr>
          <w:rFonts w:hint="eastAsia" w:ascii="楷体_GB2312" w:hAnsi="楷体_GB2312" w:eastAsia="楷体_GB2312" w:cs="楷体_GB2312"/>
          <w:b w:val="0"/>
          <w:bCs w:val="0"/>
          <w:sz w:val="18"/>
          <w:szCs w:val="18"/>
          <w:lang w:val="en-US" w:eastAsia="zh-CN"/>
        </w:rPr>
        <w:t>李佳烨. K最近邻分类建模理论及应用[D]. 中南大学, 2024.</w:t>
      </w:r>
    </w:p>
    <w:p w14:paraId="19953E86">
      <w:pPr>
        <w:pStyle w:val="4"/>
        <w:numPr>
          <w:ilvl w:val="0"/>
          <w:numId w:val="10"/>
        </w:numPr>
        <w:spacing w:line="360" w:lineRule="auto"/>
        <w:ind w:left="0" w:leftChars="0" w:firstLine="0" w:firstLineChars="0"/>
        <w:jc w:val="both"/>
        <w:rPr>
          <w:rFonts w:hint="eastAsia" w:ascii="楷体_GB2312" w:hAnsi="楷体_GB2312" w:eastAsia="楷体_GB2312" w:cs="楷体_GB2312"/>
          <w:b w:val="0"/>
          <w:bCs w:val="0"/>
          <w:sz w:val="18"/>
          <w:szCs w:val="18"/>
          <w:lang w:val="en-US" w:eastAsia="zh-CN"/>
        </w:rPr>
      </w:pPr>
      <w:r>
        <w:rPr>
          <w:rFonts w:hint="eastAsia" w:ascii="楷体_GB2312" w:hAnsi="楷体_GB2312" w:eastAsia="楷体_GB2312" w:cs="楷体_GB2312"/>
          <w:b w:val="0"/>
          <w:bCs w:val="0"/>
          <w:sz w:val="18"/>
          <w:szCs w:val="18"/>
          <w:lang w:val="en-US" w:eastAsia="zh-CN"/>
        </w:rPr>
        <w:t>王嘉薪. 面向复杂推理任务的多智能体协作框架研究与应用[D]. 北京化工大学, 2025.</w:t>
      </w:r>
    </w:p>
    <w:p w14:paraId="478A976C">
      <w:pPr>
        <w:pStyle w:val="4"/>
        <w:numPr>
          <w:ilvl w:val="0"/>
          <w:numId w:val="10"/>
        </w:numPr>
        <w:spacing w:line="360" w:lineRule="auto"/>
        <w:ind w:left="0" w:leftChars="0" w:firstLine="0" w:firstLineChars="0"/>
        <w:jc w:val="both"/>
        <w:rPr>
          <w:rFonts w:hint="eastAsia" w:ascii="楷体_GB2312" w:hAnsi="楷体_GB2312" w:eastAsia="楷体_GB2312" w:cs="楷体_GB2312"/>
          <w:b w:val="0"/>
          <w:bCs w:val="0"/>
          <w:sz w:val="18"/>
          <w:szCs w:val="18"/>
          <w:lang w:val="en-US" w:eastAsia="zh-CN"/>
        </w:rPr>
      </w:pPr>
      <w:r>
        <w:rPr>
          <w:rFonts w:hint="eastAsia" w:ascii="楷体_GB2312" w:hAnsi="楷体_GB2312" w:eastAsia="楷体_GB2312" w:cs="楷体_GB2312"/>
          <w:b w:val="0"/>
          <w:bCs w:val="0"/>
          <w:sz w:val="18"/>
          <w:szCs w:val="18"/>
          <w:lang w:val="en-US" w:eastAsia="zh-CN"/>
        </w:rPr>
        <w:t xml:space="preserve">Chroma核心团队. Chroma: AI原生嵌入式数据库[CP/OL]. (2024)[2026-03-18]. </w:t>
      </w:r>
      <w:r>
        <w:rPr>
          <w:rFonts w:hint="eastAsia" w:ascii="楷体_GB2312" w:hAnsi="楷体_GB2312" w:eastAsia="楷体_GB2312" w:cs="楷体_GB2312"/>
          <w:b w:val="0"/>
          <w:bCs w:val="0"/>
          <w:sz w:val="18"/>
          <w:szCs w:val="18"/>
          <w:lang w:val="en-US" w:eastAsia="zh-CN"/>
        </w:rPr>
        <w:fldChar w:fldCharType="begin"/>
      </w:r>
      <w:r>
        <w:rPr>
          <w:rFonts w:hint="eastAsia" w:ascii="楷体_GB2312" w:hAnsi="楷体_GB2312" w:eastAsia="楷体_GB2312" w:cs="楷体_GB2312"/>
          <w:b w:val="0"/>
          <w:bCs w:val="0"/>
          <w:sz w:val="18"/>
          <w:szCs w:val="18"/>
          <w:lang w:val="en-US" w:eastAsia="zh-CN"/>
        </w:rPr>
        <w:instrText xml:space="preserve"> HYPERLINK "https://github.com/chroma-core/chroma." </w:instrText>
      </w:r>
      <w:r>
        <w:rPr>
          <w:rFonts w:hint="eastAsia" w:ascii="楷体_GB2312" w:hAnsi="楷体_GB2312" w:eastAsia="楷体_GB2312" w:cs="楷体_GB2312"/>
          <w:b w:val="0"/>
          <w:bCs w:val="0"/>
          <w:sz w:val="18"/>
          <w:szCs w:val="18"/>
          <w:lang w:val="en-US" w:eastAsia="zh-CN"/>
        </w:rPr>
        <w:fldChar w:fldCharType="separate"/>
      </w:r>
      <w:r>
        <w:rPr>
          <w:rStyle w:val="16"/>
          <w:rFonts w:hint="eastAsia" w:ascii="楷体_GB2312" w:hAnsi="楷体_GB2312" w:eastAsia="楷体_GB2312" w:cs="楷体_GB2312"/>
          <w:b w:val="0"/>
          <w:bCs w:val="0"/>
          <w:sz w:val="18"/>
          <w:szCs w:val="18"/>
          <w:lang w:val="en-US" w:eastAsia="zh-CN"/>
        </w:rPr>
        <w:t>https://github.com/chroma-core/chroma.</w:t>
      </w:r>
      <w:r>
        <w:rPr>
          <w:rFonts w:hint="eastAsia" w:ascii="楷体_GB2312" w:hAnsi="楷体_GB2312" w:eastAsia="楷体_GB2312" w:cs="楷体_GB2312"/>
          <w:b w:val="0"/>
          <w:bCs w:val="0"/>
          <w:sz w:val="18"/>
          <w:szCs w:val="18"/>
          <w:lang w:val="en-US" w:eastAsia="zh-CN"/>
        </w:rPr>
        <w:fldChar w:fldCharType="end"/>
      </w:r>
    </w:p>
    <w:p w14:paraId="4CA91E4A">
      <w:pPr>
        <w:pStyle w:val="4"/>
        <w:numPr>
          <w:ilvl w:val="0"/>
          <w:numId w:val="10"/>
        </w:numPr>
        <w:spacing w:line="360" w:lineRule="auto"/>
        <w:ind w:left="0" w:leftChars="0" w:firstLine="0" w:firstLineChars="0"/>
        <w:jc w:val="both"/>
        <w:rPr>
          <w:rFonts w:hint="eastAsia" w:ascii="楷体_GB2312" w:hAnsi="楷体_GB2312" w:eastAsia="楷体_GB2312" w:cs="楷体_GB2312"/>
          <w:b w:val="0"/>
          <w:bCs w:val="0"/>
          <w:sz w:val="18"/>
          <w:szCs w:val="18"/>
          <w:lang w:val="en-US" w:eastAsia="zh-CN"/>
        </w:rPr>
      </w:pPr>
      <w:r>
        <w:rPr>
          <w:rFonts w:hint="eastAsia" w:ascii="楷体_GB2312" w:hAnsi="楷体_GB2312" w:eastAsia="楷体_GB2312" w:cs="楷体_GB2312"/>
          <w:b w:val="0"/>
          <w:bCs w:val="0"/>
          <w:sz w:val="18"/>
          <w:szCs w:val="18"/>
          <w:lang w:val="en-US" w:eastAsia="zh-CN"/>
        </w:rPr>
        <w:t xml:space="preserve">Streamlit, Inc. Streamlit: A faster way to build and share data apps[CP/OL]. (2024-11-15)[2026-03-18]. </w:t>
      </w:r>
      <w:r>
        <w:rPr>
          <w:rFonts w:hint="eastAsia" w:ascii="楷体_GB2312" w:hAnsi="楷体_GB2312" w:eastAsia="楷体_GB2312" w:cs="楷体_GB2312"/>
          <w:b w:val="0"/>
          <w:bCs w:val="0"/>
          <w:sz w:val="18"/>
          <w:szCs w:val="18"/>
          <w:lang w:val="en-US" w:eastAsia="zh-CN"/>
        </w:rPr>
        <w:fldChar w:fldCharType="begin"/>
      </w:r>
      <w:r>
        <w:rPr>
          <w:rFonts w:hint="eastAsia" w:ascii="楷体_GB2312" w:hAnsi="楷体_GB2312" w:eastAsia="楷体_GB2312" w:cs="楷体_GB2312"/>
          <w:b w:val="0"/>
          <w:bCs w:val="0"/>
          <w:sz w:val="18"/>
          <w:szCs w:val="18"/>
          <w:lang w:val="en-US" w:eastAsia="zh-CN"/>
        </w:rPr>
        <w:instrText xml:space="preserve"> HYPERLINK "https://streamlit.io/." </w:instrText>
      </w:r>
      <w:r>
        <w:rPr>
          <w:rFonts w:hint="eastAsia" w:ascii="楷体_GB2312" w:hAnsi="楷体_GB2312" w:eastAsia="楷体_GB2312" w:cs="楷体_GB2312"/>
          <w:b w:val="0"/>
          <w:bCs w:val="0"/>
          <w:sz w:val="18"/>
          <w:szCs w:val="18"/>
          <w:lang w:val="en-US" w:eastAsia="zh-CN"/>
        </w:rPr>
        <w:fldChar w:fldCharType="separate"/>
      </w:r>
      <w:r>
        <w:rPr>
          <w:rStyle w:val="16"/>
          <w:rFonts w:hint="eastAsia" w:ascii="楷体_GB2312" w:hAnsi="楷体_GB2312" w:eastAsia="楷体_GB2312" w:cs="楷体_GB2312"/>
          <w:b w:val="0"/>
          <w:bCs w:val="0"/>
          <w:sz w:val="18"/>
          <w:szCs w:val="18"/>
          <w:lang w:val="en-US" w:eastAsia="zh-CN"/>
        </w:rPr>
        <w:t>https://streamlit.io/.</w:t>
      </w:r>
      <w:r>
        <w:rPr>
          <w:rFonts w:hint="eastAsia" w:ascii="楷体_GB2312" w:hAnsi="楷体_GB2312" w:eastAsia="楷体_GB2312" w:cs="楷体_GB2312"/>
          <w:b w:val="0"/>
          <w:bCs w:val="0"/>
          <w:sz w:val="18"/>
          <w:szCs w:val="18"/>
          <w:lang w:val="en-US" w:eastAsia="zh-CN"/>
        </w:rPr>
        <w:fldChar w:fldCharType="end"/>
      </w:r>
    </w:p>
    <w:p w14:paraId="54F5E643">
      <w:pPr>
        <w:pStyle w:val="4"/>
        <w:numPr>
          <w:ilvl w:val="0"/>
          <w:numId w:val="10"/>
        </w:numPr>
        <w:spacing w:line="360" w:lineRule="auto"/>
        <w:ind w:left="0" w:leftChars="0" w:firstLine="0" w:firstLineChars="0"/>
        <w:jc w:val="both"/>
        <w:rPr>
          <w:rFonts w:hint="eastAsia" w:ascii="楷体_GB2312" w:hAnsi="楷体_GB2312" w:eastAsia="楷体_GB2312" w:cs="楷体_GB2312"/>
          <w:b w:val="0"/>
          <w:bCs w:val="0"/>
          <w:sz w:val="18"/>
          <w:szCs w:val="18"/>
          <w:lang w:val="en-US" w:eastAsia="zh-CN"/>
        </w:rPr>
      </w:pPr>
      <w:r>
        <w:rPr>
          <w:rFonts w:hint="eastAsia" w:ascii="楷体_GB2312" w:hAnsi="楷体_GB2312" w:eastAsia="楷体_GB2312" w:cs="楷体_GB2312"/>
          <w:b w:val="0"/>
          <w:bCs w:val="0"/>
          <w:sz w:val="18"/>
          <w:szCs w:val="18"/>
          <w:lang w:val="en-US" w:eastAsia="zh-CN"/>
        </w:rPr>
        <w:t>刘晓畅, 吴志强. 人工智能辅助国土空间诊断的理论范式建构与思行方法变革[J]. 城市规划学刊, 1-10.</w:t>
      </w:r>
    </w:p>
    <w:p w14:paraId="528EC924">
      <w:pPr>
        <w:pStyle w:val="4"/>
        <w:numPr>
          <w:ilvl w:val="0"/>
          <w:numId w:val="10"/>
        </w:numPr>
        <w:spacing w:line="360" w:lineRule="auto"/>
        <w:ind w:left="0" w:leftChars="0" w:firstLine="0" w:firstLineChars="0"/>
        <w:jc w:val="both"/>
        <w:rPr>
          <w:rFonts w:hint="eastAsia" w:ascii="楷体_GB2312" w:hAnsi="楷体_GB2312" w:eastAsia="楷体_GB2312" w:cs="楷体_GB2312"/>
          <w:b w:val="0"/>
          <w:bCs w:val="0"/>
          <w:sz w:val="18"/>
          <w:szCs w:val="18"/>
          <w:lang w:val="en-US" w:eastAsia="zh-CN"/>
        </w:rPr>
      </w:pPr>
      <w:r>
        <w:rPr>
          <w:rFonts w:hint="eastAsia" w:ascii="楷体_GB2312" w:hAnsi="楷体_GB2312" w:eastAsia="楷体_GB2312" w:cs="楷体_GB2312"/>
          <w:b w:val="0"/>
          <w:bCs w:val="0"/>
          <w:sz w:val="18"/>
          <w:szCs w:val="18"/>
          <w:lang w:val="en-US" w:eastAsia="zh-CN"/>
        </w:rPr>
        <w:t>伍江, 张逸平, 袁也, 汤舸, 段睿妍, 徐诗滟, 孔翎. 数字孪生技术背景下城市人口底数的精准映射：创新技术框架与规划运用展望[J]. 城市规划学刊, 2024, (03): 28-37.</w:t>
      </w:r>
    </w:p>
    <w:p w14:paraId="7D7EC87E">
      <w:pPr>
        <w:pStyle w:val="4"/>
        <w:ind w:left="0" w:leftChars="0" w:firstLine="0" w:firstLineChars="0"/>
        <w:jc w:val="both"/>
        <w:rPr>
          <w:rFonts w:hint="eastAsia" w:ascii="宋体" w:hAnsi="宋体" w:cs="宋体"/>
          <w:b/>
          <w:bCs/>
          <w:sz w:val="20"/>
          <w:szCs w:val="20"/>
          <w:lang w:val="en-US" w:eastAsia="zh-CN"/>
        </w:rPr>
      </w:pPr>
    </w:p>
    <w:p w14:paraId="2D1576D2">
      <w:pPr>
        <w:pStyle w:val="4"/>
        <w:jc w:val="both"/>
        <w:rPr>
          <w:rFonts w:hint="default" w:ascii="宋体" w:hAnsi="宋体" w:cs="宋体"/>
          <w:b/>
          <w:bCs/>
          <w:sz w:val="20"/>
          <w:szCs w:val="20"/>
          <w:lang w:val="en-US" w:eastAsia="zh-CN"/>
        </w:rPr>
      </w:pPr>
    </w:p>
    <w:sectPr>
      <w:pgSz w:w="11906" w:h="16838"/>
      <w:pgMar w:top="1440" w:right="1800" w:bottom="1440" w:left="180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panose1 w:val="02010609030101010101"/>
    <w:charset w:val="86"/>
    <w:family w:val="auto"/>
    <w:pitch w:val="default"/>
    <w:sig w:usb0="00000001" w:usb1="080E0000" w:usb2="00000000" w:usb3="00000000" w:csb0="00040000"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498630"/>
    <w:multiLevelType w:val="singleLevel"/>
    <w:tmpl w:val="8A498630"/>
    <w:lvl w:ilvl="0" w:tentative="0">
      <w:start w:val="1"/>
      <w:numFmt w:val="decimal"/>
      <w:suff w:val="space"/>
      <w:lvlText w:val="%1."/>
      <w:lvlJc w:val="left"/>
      <w:pPr>
        <w:ind w:left="0" w:firstLine="480"/>
      </w:pPr>
      <w:rPr>
        <w:rFonts w:hint="default"/>
      </w:rPr>
    </w:lvl>
  </w:abstractNum>
  <w:abstractNum w:abstractNumId="1">
    <w:nsid w:val="BBC791E6"/>
    <w:multiLevelType w:val="singleLevel"/>
    <w:tmpl w:val="BBC791E6"/>
    <w:lvl w:ilvl="0" w:tentative="0">
      <w:start w:val="1"/>
      <w:numFmt w:val="bullet"/>
      <w:lvlText w:val=""/>
      <w:lvlJc w:val="left"/>
      <w:pPr>
        <w:tabs>
          <w:tab w:val="left" w:pos="420"/>
        </w:tabs>
        <w:ind w:left="840" w:hanging="420"/>
      </w:pPr>
      <w:rPr>
        <w:rFonts w:hint="default" w:ascii="Wingdings" w:hAnsi="Wingdings"/>
      </w:rPr>
    </w:lvl>
  </w:abstractNum>
  <w:abstractNum w:abstractNumId="2">
    <w:nsid w:val="CAA0F5FB"/>
    <w:multiLevelType w:val="singleLevel"/>
    <w:tmpl w:val="CAA0F5FB"/>
    <w:lvl w:ilvl="0" w:tentative="0">
      <w:start w:val="1"/>
      <w:numFmt w:val="decimal"/>
      <w:suff w:val="space"/>
      <w:lvlText w:val="%1."/>
      <w:lvlJc w:val="left"/>
      <w:pPr>
        <w:ind w:left="0" w:firstLine="480"/>
      </w:pPr>
      <w:rPr>
        <w:rFonts w:hint="default"/>
      </w:rPr>
    </w:lvl>
  </w:abstractNum>
  <w:abstractNum w:abstractNumId="3">
    <w:nsid w:val="E99716F2"/>
    <w:multiLevelType w:val="singleLevel"/>
    <w:tmpl w:val="E99716F2"/>
    <w:lvl w:ilvl="0" w:tentative="0">
      <w:start w:val="1"/>
      <w:numFmt w:val="decimal"/>
      <w:suff w:val="space"/>
      <w:lvlText w:val="%1."/>
      <w:lvlJc w:val="left"/>
      <w:pPr>
        <w:ind w:left="0" w:firstLine="480"/>
      </w:pPr>
      <w:rPr>
        <w:rFonts w:hint="default"/>
      </w:rPr>
    </w:lvl>
  </w:abstractNum>
  <w:abstractNum w:abstractNumId="4">
    <w:nsid w:val="F4A59E76"/>
    <w:multiLevelType w:val="singleLevel"/>
    <w:tmpl w:val="F4A59E76"/>
    <w:lvl w:ilvl="0" w:tentative="0">
      <w:start w:val="1"/>
      <w:numFmt w:val="decimal"/>
      <w:suff w:val="space"/>
      <w:lvlText w:val="%1."/>
      <w:lvlJc w:val="left"/>
      <w:pPr>
        <w:ind w:left="0" w:firstLine="480"/>
      </w:pPr>
      <w:rPr>
        <w:rFonts w:hint="default"/>
      </w:rPr>
    </w:lvl>
  </w:abstractNum>
  <w:abstractNum w:abstractNumId="5">
    <w:nsid w:val="31FE02B3"/>
    <w:multiLevelType w:val="singleLevel"/>
    <w:tmpl w:val="31FE02B3"/>
    <w:lvl w:ilvl="0" w:tentative="0">
      <w:start w:val="1"/>
      <w:numFmt w:val="decimal"/>
      <w:suff w:val="space"/>
      <w:lvlText w:val="%1."/>
      <w:lvlJc w:val="left"/>
      <w:pPr>
        <w:ind w:left="0" w:firstLine="480"/>
      </w:pPr>
      <w:rPr>
        <w:rFonts w:hint="default"/>
      </w:rPr>
    </w:lvl>
  </w:abstractNum>
  <w:abstractNum w:abstractNumId="6">
    <w:nsid w:val="453B0703"/>
    <w:multiLevelType w:val="singleLevel"/>
    <w:tmpl w:val="453B0703"/>
    <w:lvl w:ilvl="0" w:tentative="0">
      <w:start w:val="1"/>
      <w:numFmt w:val="decimal"/>
      <w:suff w:val="space"/>
      <w:lvlText w:val="1.%1"/>
      <w:lvlJc w:val="left"/>
      <w:pPr>
        <w:ind w:left="0" w:firstLine="0"/>
      </w:pPr>
      <w:rPr>
        <w:rFonts w:hint="default"/>
      </w:rPr>
    </w:lvl>
  </w:abstractNum>
  <w:abstractNum w:abstractNumId="7">
    <w:nsid w:val="4EE5AECD"/>
    <w:multiLevelType w:val="singleLevel"/>
    <w:tmpl w:val="4EE5AECD"/>
    <w:lvl w:ilvl="0" w:tentative="0">
      <w:start w:val="1"/>
      <w:numFmt w:val="lowerLetter"/>
      <w:lvlText w:val="%1."/>
      <w:lvlJc w:val="left"/>
      <w:pPr>
        <w:tabs>
          <w:tab w:val="left" w:pos="420"/>
        </w:tabs>
        <w:ind w:left="845" w:hanging="425"/>
      </w:pPr>
      <w:rPr>
        <w:rFonts w:hint="default"/>
      </w:rPr>
    </w:lvl>
  </w:abstractNum>
  <w:abstractNum w:abstractNumId="8">
    <w:nsid w:val="623F4DAA"/>
    <w:multiLevelType w:val="singleLevel"/>
    <w:tmpl w:val="623F4DAA"/>
    <w:lvl w:ilvl="0" w:tentative="0">
      <w:start w:val="1"/>
      <w:numFmt w:val="decimal"/>
      <w:suff w:val="space"/>
      <w:lvlText w:val="%1."/>
      <w:lvlJc w:val="left"/>
      <w:pPr>
        <w:ind w:left="0" w:firstLine="480"/>
      </w:pPr>
      <w:rPr>
        <w:rFonts w:hint="default"/>
      </w:rPr>
    </w:lvl>
  </w:abstractNum>
  <w:abstractNum w:abstractNumId="9">
    <w:nsid w:val="6C9E9CA9"/>
    <w:multiLevelType w:val="singleLevel"/>
    <w:tmpl w:val="6C9E9CA9"/>
    <w:lvl w:ilvl="0" w:tentative="0">
      <w:start w:val="1"/>
      <w:numFmt w:val="decimal"/>
      <w:lvlText w:val="[%1]"/>
      <w:lvlJc w:val="left"/>
      <w:pPr>
        <w:tabs>
          <w:tab w:val="left" w:pos="312"/>
        </w:tabs>
      </w:pPr>
    </w:lvl>
  </w:abstractNum>
  <w:num w:numId="1">
    <w:abstractNumId w:val="6"/>
  </w:num>
  <w:num w:numId="2">
    <w:abstractNumId w:val="4"/>
  </w:num>
  <w:num w:numId="3">
    <w:abstractNumId w:val="7"/>
  </w:num>
  <w:num w:numId="4">
    <w:abstractNumId w:val="3"/>
  </w:num>
  <w:num w:numId="5">
    <w:abstractNumId w:val="2"/>
  </w:num>
  <w:num w:numId="6">
    <w:abstractNumId w:val="8"/>
  </w:num>
  <w:num w:numId="7">
    <w:abstractNumId w:val="1"/>
  </w:num>
  <w:num w:numId="8">
    <w:abstractNumId w:val="5"/>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472087"/>
    <w:rsid w:val="01066A48"/>
    <w:rsid w:val="01BD420B"/>
    <w:rsid w:val="03771FAF"/>
    <w:rsid w:val="051554AC"/>
    <w:rsid w:val="06EA7FE5"/>
    <w:rsid w:val="0A0B50CF"/>
    <w:rsid w:val="0B846BF9"/>
    <w:rsid w:val="0CA15148"/>
    <w:rsid w:val="147A18D8"/>
    <w:rsid w:val="18924A32"/>
    <w:rsid w:val="18C63235"/>
    <w:rsid w:val="192C06DB"/>
    <w:rsid w:val="19472087"/>
    <w:rsid w:val="1BD35136"/>
    <w:rsid w:val="1DC1221D"/>
    <w:rsid w:val="1DCD2B9D"/>
    <w:rsid w:val="1E2223FC"/>
    <w:rsid w:val="209F7BF6"/>
    <w:rsid w:val="21427957"/>
    <w:rsid w:val="2298179E"/>
    <w:rsid w:val="23CE1F9C"/>
    <w:rsid w:val="23E55A70"/>
    <w:rsid w:val="2933328E"/>
    <w:rsid w:val="2CD6705A"/>
    <w:rsid w:val="2DA82AB1"/>
    <w:rsid w:val="342966A0"/>
    <w:rsid w:val="3C464471"/>
    <w:rsid w:val="40D0614F"/>
    <w:rsid w:val="417E76C6"/>
    <w:rsid w:val="42DF7975"/>
    <w:rsid w:val="44AC2A30"/>
    <w:rsid w:val="46685E10"/>
    <w:rsid w:val="47BC567F"/>
    <w:rsid w:val="48043633"/>
    <w:rsid w:val="4C341C88"/>
    <w:rsid w:val="4E5A52AA"/>
    <w:rsid w:val="53140717"/>
    <w:rsid w:val="54F860F5"/>
    <w:rsid w:val="55E30F1E"/>
    <w:rsid w:val="56687250"/>
    <w:rsid w:val="57871C26"/>
    <w:rsid w:val="57E62D59"/>
    <w:rsid w:val="587A37B8"/>
    <w:rsid w:val="590C5701"/>
    <w:rsid w:val="5C0E2FD3"/>
    <w:rsid w:val="5C9A2217"/>
    <w:rsid w:val="5D6800CD"/>
    <w:rsid w:val="5DA930B5"/>
    <w:rsid w:val="5EC923F3"/>
    <w:rsid w:val="615D7134"/>
    <w:rsid w:val="62116A72"/>
    <w:rsid w:val="640C3047"/>
    <w:rsid w:val="651641C9"/>
    <w:rsid w:val="65180EA5"/>
    <w:rsid w:val="66E04A8F"/>
    <w:rsid w:val="6747227C"/>
    <w:rsid w:val="6750270F"/>
    <w:rsid w:val="69AD626E"/>
    <w:rsid w:val="6B25755B"/>
    <w:rsid w:val="6C247DB6"/>
    <w:rsid w:val="6C6121CE"/>
    <w:rsid w:val="6CE34991"/>
    <w:rsid w:val="6F287EEA"/>
    <w:rsid w:val="70E37655"/>
    <w:rsid w:val="731C016A"/>
    <w:rsid w:val="74954AD8"/>
    <w:rsid w:val="77FB2266"/>
    <w:rsid w:val="7B551FE8"/>
    <w:rsid w:val="7C9501C2"/>
    <w:rsid w:val="7D7C73EF"/>
    <w:rsid w:val="7ECE7C95"/>
    <w:rsid w:val="7FA362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bidi w:val="0"/>
      <w:adjustRightInd w:val="0"/>
      <w:spacing w:before="320" w:line="300" w:lineRule="auto"/>
      <w:jc w:val="both"/>
      <w:outlineLvl w:val="0"/>
    </w:pPr>
    <w:rPr>
      <w:rFonts w:ascii="宋体" w:hAnsi="宋体" w:eastAsia="宋体" w:cs="宋体"/>
      <w:b/>
      <w:color w:val="000000"/>
      <w:kern w:val="44"/>
      <w:sz w:val="21"/>
      <w:szCs w:val="21"/>
      <w:lang w:bidi="ar-SA"/>
    </w:rPr>
  </w:style>
  <w:style w:type="paragraph" w:styleId="3">
    <w:name w:val="heading 2"/>
    <w:basedOn w:val="4"/>
    <w:next w:val="1"/>
    <w:unhideWhenUsed/>
    <w:qFormat/>
    <w:uiPriority w:val="0"/>
    <w:pPr>
      <w:ind w:firstLine="0" w:firstLineChars="0"/>
      <w:outlineLvl w:val="1"/>
    </w:pPr>
    <w:rPr>
      <w:rFonts w:ascii="宋体" w:hAnsi="宋体" w:cs="宋体"/>
      <w:b/>
      <w:sz w:val="21"/>
      <w:szCs w:val="21"/>
    </w:rPr>
  </w:style>
  <w:style w:type="paragraph" w:styleId="5">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楷体_GB2312" w:cs="Times New Roman"/>
      <w:kern w:val="2"/>
      <w:sz w:val="24"/>
      <w:szCs w:val="24"/>
      <w:lang w:bidi="ar-SA"/>
    </w:rPr>
  </w:style>
  <w:style w:type="paragraph" w:styleId="6">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7">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8">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9">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10">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1">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4">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16">
    <w:name w:val="Hyperlink"/>
    <w:basedOn w:val="15"/>
    <w:qFormat/>
    <w:uiPriority w:val="0"/>
    <w:rPr>
      <w:color w:val="0000FF"/>
      <w:u w:val="single"/>
    </w:rPr>
  </w:style>
  <w:style w:type="character" w:customStyle="1" w:styleId="17">
    <w:name w:val="关键词"/>
    <w:qFormat/>
    <w:uiPriority w:val="0"/>
    <w:rPr>
      <w:rFonts w:ascii="Times New Roman" w:hAnsi="Times New Roman" w:eastAsia="宋体" w:cs="宋体"/>
      <w:b/>
      <w:bCs/>
      <w:sz w:val="24"/>
    </w:rPr>
  </w:style>
  <w:style w:type="paragraph" w:customStyle="1" w:styleId="18">
    <w:name w:val="章标题"/>
    <w:next w:val="1"/>
    <w:qFormat/>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NUL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4649</Words>
  <Characters>5281</Characters>
  <Lines>0</Lines>
  <Paragraphs>0</Paragraphs>
  <TotalTime>109</TotalTime>
  <ScaleCrop>false</ScaleCrop>
  <LinksUpToDate>false</LinksUpToDate>
  <CharactersWithSpaces>5403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2026-03-17T01:51:00Z</dcterms:created>
  <dc:creator>Aldrich </dc:creator>
  <cp:lastModifiedBy>Aldrich </cp:lastModifiedBy>
  <dcterms:modified xsi:type="dcterms:W3CDTF">2026-03-23T02:02:40Z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00946F4F68D243AEA2E5C837DC56E46A_11</vt:lpwstr>
  </property>
  <property fmtid="{D5CDD505-2E9C-101B-9397-08002B2CF9AE}" pid="4" name="KSOTemplateDocerSaveRecord">
    <vt:lpwstr>eyJoZGlkIjoiYzJkMGZiMGU4MzJhOTA0NTRkMGI5OTNlMTljOGYzYTIiLCJ1c2VySWQiOiIyMDE4MDg5MjgifQ==</vt:lpwstr>
  </property>
</Properties>
</file>