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2A5F" w14:textId="77777777" w:rsidR="00D17C8B" w:rsidRPr="00D17C8B" w:rsidRDefault="00770A88" w:rsidP="00D17C8B">
      <w:pPr>
        <w:pStyle w:val="Title"/>
      </w:pPr>
      <w:r>
        <w:t>Trade and Customs Analytics Report</w:t>
      </w:r>
      <w:r w:rsidR="00D17C8B">
        <w:t xml:space="preserve"> by da-22</w:t>
      </w:r>
    </w:p>
    <w:p w14:paraId="77BB2DB7" w14:textId="77777777" w:rsidR="009D681C" w:rsidRDefault="00770A88">
      <w:pPr>
        <w:pStyle w:val="Heading1"/>
      </w:pPr>
      <w:r>
        <w:t>Executive Summary</w:t>
      </w:r>
    </w:p>
    <w:p w14:paraId="62D5AFF4" w14:textId="58CF97C4" w:rsidR="009D681C" w:rsidRDefault="00770A88" w:rsidP="00AF5C72">
      <w:pPr>
        <w:jc w:val="both"/>
      </w:pPr>
      <w:r>
        <w:t xml:space="preserve">This report presents a comprehensive analysis of trade and customs data aimed at understanding import trends, taxation efficiency, and logistics performance. Key insights were drawn from </w:t>
      </w:r>
      <w:r w:rsidR="00A94659">
        <w:t>rows of 77783</w:t>
      </w:r>
      <w:r>
        <w:t xml:space="preserve">/columns of </w:t>
      </w:r>
      <w:r w:rsidR="00A94659">
        <w:t>18</w:t>
      </w:r>
      <w:r>
        <w:t>, with a focus on HS Codes, CIF/FOB values, tax contributions, and country origins. The goal was to inform better policy decisions and optimize customs operations.</w:t>
      </w:r>
    </w:p>
    <w:p w14:paraId="3ACC1036" w14:textId="77777777" w:rsidR="009D681C" w:rsidRDefault="00770A88">
      <w:pPr>
        <w:pStyle w:val="Heading1"/>
      </w:pPr>
      <w:r>
        <w:t>Introduction</w:t>
      </w:r>
    </w:p>
    <w:p w14:paraId="666047BF" w14:textId="77777777" w:rsidR="0081780B" w:rsidRDefault="00770A88" w:rsidP="0081780B">
      <w:r>
        <w:t>Purpose of the Report:</w:t>
      </w:r>
      <w:r>
        <w:br/>
        <w:t>To analyze trade and customs data, extract actionable insights, and provide data-driven recommendations for improved logistics, taxation policies, and import compliance.</w:t>
      </w:r>
      <w:r w:rsidR="00F4548D">
        <w:t xml:space="preserve"> A secondary goal is to evaluate risk signals across HS codes and countries for more robust policy enforcement.</w:t>
      </w:r>
      <w:r>
        <w:br/>
      </w:r>
      <w:r>
        <w:br/>
      </w:r>
      <w:r w:rsidRPr="0081780B">
        <w:rPr>
          <w:b/>
          <w:bCs/>
        </w:rPr>
        <w:t>Dataset Overview:</w:t>
      </w:r>
    </w:p>
    <w:p w14:paraId="30D53246" w14:textId="713DAE9A" w:rsidR="0081780B" w:rsidRDefault="00770A88" w:rsidP="0081780B">
      <w:pPr>
        <w:pStyle w:val="ListParagraph"/>
        <w:numPr>
          <w:ilvl w:val="0"/>
          <w:numId w:val="18"/>
        </w:numPr>
      </w:pPr>
      <w:r>
        <w:t xml:space="preserve">Source: </w:t>
      </w:r>
      <w:proofErr w:type="spellStart"/>
      <w:r w:rsidR="00D17C8B">
        <w:t>DataVerse</w:t>
      </w:r>
      <w:proofErr w:type="spellEnd"/>
      <w:r w:rsidR="00D17C8B">
        <w:t xml:space="preserve"> Africa</w:t>
      </w:r>
    </w:p>
    <w:p w14:paraId="76EACC12" w14:textId="14B9A3FF" w:rsidR="0081780B" w:rsidRDefault="00770A88" w:rsidP="0081780B">
      <w:pPr>
        <w:pStyle w:val="ListParagraph"/>
        <w:numPr>
          <w:ilvl w:val="0"/>
          <w:numId w:val="18"/>
        </w:numPr>
      </w:pPr>
      <w:r>
        <w:t xml:space="preserve">Time Frame Covered: </w:t>
      </w:r>
      <w:r w:rsidR="00D17C8B">
        <w:t xml:space="preserve">July </w:t>
      </w:r>
      <w:r w:rsidR="0081780B">
        <w:t>–</w:t>
      </w:r>
      <w:r w:rsidR="00D17C8B">
        <w:t xml:space="preserve"> August</w:t>
      </w:r>
    </w:p>
    <w:p w14:paraId="5C64F8EB" w14:textId="3D476497" w:rsidR="0081780B" w:rsidRDefault="00770A88" w:rsidP="0081780B">
      <w:pPr>
        <w:pStyle w:val="ListParagraph"/>
        <w:numPr>
          <w:ilvl w:val="0"/>
          <w:numId w:val="18"/>
        </w:numPr>
      </w:pPr>
      <w:r>
        <w:t>Key Columns: HS Code, Country of Origin, FOB, CIF, Mass (KG), Tax Amount, etc.</w:t>
      </w:r>
    </w:p>
    <w:p w14:paraId="50C2BC81" w14:textId="2EE32DE8" w:rsidR="008B391A" w:rsidRPr="0081780B" w:rsidRDefault="008B391A" w:rsidP="0081780B">
      <w:pPr>
        <w:pStyle w:val="ListParagraph"/>
        <w:numPr>
          <w:ilvl w:val="0"/>
          <w:numId w:val="18"/>
        </w:numPr>
        <w:rPr>
          <w:rStyle w:val="Strong"/>
          <w:b w:val="0"/>
          <w:bCs w:val="0"/>
        </w:rPr>
      </w:pPr>
      <w:r>
        <w:t xml:space="preserve">Total Observations: </w:t>
      </w:r>
      <w:r>
        <w:rPr>
          <w:rStyle w:val="Strong"/>
        </w:rPr>
        <w:t>77,783.</w:t>
      </w:r>
    </w:p>
    <w:p w14:paraId="024A24D3" w14:textId="7BA9BDC4" w:rsidR="008B391A" w:rsidRPr="0081780B" w:rsidRDefault="008B391A" w:rsidP="0081780B">
      <w:pPr>
        <w:pStyle w:val="ListParagraph"/>
        <w:numPr>
          <w:ilvl w:val="0"/>
          <w:numId w:val="18"/>
        </w:numPr>
        <w:rPr>
          <w:b/>
          <w:bCs/>
        </w:rPr>
      </w:pPr>
      <w:r>
        <w:t xml:space="preserve">Total Unique Importers: </w:t>
      </w:r>
      <w:r w:rsidRPr="0081780B">
        <w:rPr>
          <w:b/>
          <w:bCs/>
        </w:rPr>
        <w:t>11027.</w:t>
      </w:r>
    </w:p>
    <w:p w14:paraId="39E1F2C0" w14:textId="484E96BB" w:rsidR="008B391A" w:rsidRPr="0081780B" w:rsidRDefault="008B391A" w:rsidP="0081780B">
      <w:pPr>
        <w:pStyle w:val="ListParagraph"/>
        <w:numPr>
          <w:ilvl w:val="0"/>
          <w:numId w:val="18"/>
        </w:numPr>
        <w:rPr>
          <w:b/>
          <w:bCs/>
        </w:rPr>
      </w:pPr>
      <w:r>
        <w:t xml:space="preserve">Total Unique HS Categories (2-digit): </w:t>
      </w:r>
      <w:r w:rsidRPr="0081780B">
        <w:rPr>
          <w:b/>
          <w:bCs/>
        </w:rPr>
        <w:t>63</w:t>
      </w:r>
    </w:p>
    <w:p w14:paraId="50AACA1D" w14:textId="77777777" w:rsidR="009D681C" w:rsidRDefault="00770A88">
      <w:pPr>
        <w:pStyle w:val="Heading1"/>
      </w:pPr>
      <w:r>
        <w:t>Data Cleaning Summary</w:t>
      </w:r>
    </w:p>
    <w:p w14:paraId="27C35D46" w14:textId="77777777" w:rsidR="0081780B" w:rsidRDefault="00770A88" w:rsidP="00736DB9">
      <w:r>
        <w:t>A thorough data cleaning process was conducted to ensure consistency and accuracy. Key steps included:</w:t>
      </w:r>
    </w:p>
    <w:p w14:paraId="240125D1" w14:textId="7AE113D9" w:rsidR="0081780B" w:rsidRDefault="00770A88" w:rsidP="0081780B">
      <w:pPr>
        <w:pStyle w:val="ListParagraph"/>
        <w:numPr>
          <w:ilvl w:val="0"/>
          <w:numId w:val="19"/>
        </w:numPr>
      </w:pPr>
      <w:r>
        <w:t>Rectified formatting inconsistencies in HS Codes</w:t>
      </w:r>
      <w:r w:rsidR="0081780B">
        <w:t>.</w:t>
      </w:r>
    </w:p>
    <w:p w14:paraId="0F510E4E" w14:textId="46C0AC55" w:rsidR="00915FBA" w:rsidRDefault="00915FBA" w:rsidP="0081780B">
      <w:pPr>
        <w:pStyle w:val="ListParagraph"/>
        <w:numPr>
          <w:ilvl w:val="0"/>
          <w:numId w:val="19"/>
        </w:numPr>
      </w:pPr>
      <w:r>
        <w:t>Truncated to 6 digits, aggregated using first 2 digits to ensures consistency with WCO classification</w:t>
      </w:r>
      <w:r w:rsidR="0081780B">
        <w:t>.</w:t>
      </w:r>
    </w:p>
    <w:p w14:paraId="00B60A2E" w14:textId="77777777" w:rsidR="0081780B" w:rsidRDefault="00915FBA" w:rsidP="0081780B">
      <w:pPr>
        <w:pStyle w:val="ListParagraph"/>
        <w:numPr>
          <w:ilvl w:val="0"/>
          <w:numId w:val="19"/>
        </w:numPr>
      </w:pPr>
      <w:r>
        <w:t>We used the first two digit of the HS code to assign labels to them.</w:t>
      </w:r>
    </w:p>
    <w:p w14:paraId="18BE8986" w14:textId="528155AD" w:rsidR="0081780B" w:rsidRDefault="00770A88" w:rsidP="0081780B">
      <w:pPr>
        <w:pStyle w:val="ListParagraph"/>
        <w:numPr>
          <w:ilvl w:val="0"/>
          <w:numId w:val="19"/>
        </w:numPr>
      </w:pPr>
      <w:r>
        <w:t>Converted monetary fields (FOB, CIF, Tax) to numeric types</w:t>
      </w:r>
      <w:r w:rsidR="0081780B">
        <w:t>.</w:t>
      </w:r>
    </w:p>
    <w:p w14:paraId="06C8FB45" w14:textId="7D7D6E9B" w:rsidR="00915FBA" w:rsidRDefault="00770A88" w:rsidP="0081780B">
      <w:pPr>
        <w:pStyle w:val="ListParagraph"/>
        <w:numPr>
          <w:ilvl w:val="0"/>
          <w:numId w:val="19"/>
        </w:numPr>
      </w:pPr>
      <w:r>
        <w:t>Handled missing and duplicate values</w:t>
      </w:r>
      <w:r w:rsidR="0081780B">
        <w:t>.</w:t>
      </w:r>
      <w:r>
        <w:br/>
        <w:t>Normalized date and country formats</w:t>
      </w:r>
      <w:r w:rsidR="00DF0E91" w:rsidRPr="00DF0E91">
        <w:t xml:space="preserve"> </w:t>
      </w:r>
      <w:r w:rsidR="00DF0E91">
        <w:t>Checked for the correlation between country of supply and country of Origin, which turns out very strong. With this we were able to forward fill the empty values in the country of supply.</w:t>
      </w:r>
    </w:p>
    <w:p w14:paraId="00ACB1C9" w14:textId="77777777" w:rsidR="0081780B" w:rsidRDefault="00915FBA" w:rsidP="0081780B">
      <w:pPr>
        <w:pStyle w:val="ListParagraph"/>
        <w:numPr>
          <w:ilvl w:val="0"/>
          <w:numId w:val="19"/>
        </w:numPr>
      </w:pPr>
      <w:r>
        <w:lastRenderedPageBreak/>
        <w:t>Used high Pearson correlation (r ≈ 0.998) with Country of Origin to justify substitution.</w:t>
      </w:r>
    </w:p>
    <w:p w14:paraId="4194CD9D" w14:textId="3F8F89F7" w:rsidR="00915FBA" w:rsidRDefault="00617C0A" w:rsidP="0081780B">
      <w:pPr>
        <w:pStyle w:val="ListParagraph"/>
        <w:numPr>
          <w:ilvl w:val="0"/>
          <w:numId w:val="19"/>
        </w:numPr>
      </w:pPr>
      <w:r>
        <w:t>For the receipt date column, we noticed the date were far past and the years were 1866, 1867, 1868, 1869. To standardized the date we formatted them forwarding by 2022, 2023,2024 and 2025 respectively each.</w:t>
      </w:r>
    </w:p>
    <w:p w14:paraId="0CF5CC32" w14:textId="77777777" w:rsidR="0081780B" w:rsidRDefault="00915FBA" w:rsidP="0081780B">
      <w:pPr>
        <w:pStyle w:val="ListParagraph"/>
        <w:numPr>
          <w:ilvl w:val="0"/>
          <w:numId w:val="19"/>
        </w:numPr>
      </w:pPr>
      <w:r>
        <w:t xml:space="preserve">Dropped the receipt date missing values due to uniqueness and lack of redundancy impacted less than </w:t>
      </w:r>
      <w:r w:rsidR="00DF0E91">
        <w:rPr>
          <w:rStyle w:val="Strong"/>
        </w:rPr>
        <w:t>1.67</w:t>
      </w:r>
      <w:r>
        <w:rPr>
          <w:rStyle w:val="Strong"/>
        </w:rPr>
        <w:t>%</w:t>
      </w:r>
      <w:r>
        <w:t xml:space="preserve"> of total records.</w:t>
      </w:r>
    </w:p>
    <w:p w14:paraId="48D90412" w14:textId="5AA5B96E" w:rsidR="0081780B" w:rsidRDefault="00617C0A" w:rsidP="0081780B">
      <w:pPr>
        <w:pStyle w:val="ListParagraph"/>
        <w:numPr>
          <w:ilvl w:val="0"/>
          <w:numId w:val="19"/>
        </w:numPr>
      </w:pPr>
      <w:r>
        <w:t>Tools Used: Python (Pandas), Excel</w:t>
      </w:r>
    </w:p>
    <w:p w14:paraId="0EDD5FE0" w14:textId="77777777" w:rsidR="009D681C" w:rsidRDefault="00770A88">
      <w:pPr>
        <w:pStyle w:val="Heading1"/>
      </w:pPr>
      <w:r>
        <w:t>Exploratory Data Analysis (EDA)</w:t>
      </w:r>
    </w:p>
    <w:p w14:paraId="5DB3CC45" w14:textId="77777777" w:rsidR="00344453" w:rsidRDefault="00770A88" w:rsidP="00344453">
      <w:pPr>
        <w:pStyle w:val="ListParagraph"/>
        <w:numPr>
          <w:ilvl w:val="0"/>
          <w:numId w:val="10"/>
        </w:numPr>
      </w:pPr>
      <w:r>
        <w:t>Import Overview by HS Code</w:t>
      </w:r>
    </w:p>
    <w:p w14:paraId="55B0603C" w14:textId="77777777" w:rsidR="00344453" w:rsidRDefault="00344453" w:rsidP="00344453">
      <w:pPr>
        <w:ind w:left="360"/>
      </w:pPr>
      <w:r>
        <w:rPr>
          <w:noProof/>
        </w:rPr>
        <w:drawing>
          <wp:inline distT="0" distB="0" distL="0" distR="0" wp14:anchorId="1A46D945" wp14:editId="58B781B9">
            <wp:extent cx="5201285" cy="4800600"/>
            <wp:effectExtent l="0" t="0" r="0" b="0"/>
            <wp:docPr id="173459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85" cy="4800600"/>
                    </a:xfrm>
                    <a:prstGeom prst="rect">
                      <a:avLst/>
                    </a:prstGeom>
                    <a:noFill/>
                    <a:ln>
                      <a:noFill/>
                    </a:ln>
                  </pic:spPr>
                </pic:pic>
              </a:graphicData>
            </a:graphic>
          </wp:inline>
        </w:drawing>
      </w:r>
    </w:p>
    <w:p w14:paraId="6A68D096" w14:textId="77777777" w:rsidR="00344453" w:rsidRDefault="00344453" w:rsidP="00344453">
      <w:pPr>
        <w:ind w:left="360"/>
      </w:pPr>
    </w:p>
    <w:p w14:paraId="5216EED2" w14:textId="7B90A0C3" w:rsidR="003D347C" w:rsidRDefault="003D347C" w:rsidP="00344453">
      <w:pPr>
        <w:ind w:left="360"/>
      </w:pPr>
      <w:r>
        <w:t>Sugars and sugar confectionery happens to be the most traded goods</w:t>
      </w:r>
      <w:r w:rsidR="00770A88">
        <w:br/>
      </w:r>
      <w:r w:rsidR="00770A88">
        <w:br/>
      </w:r>
      <w:r w:rsidR="00770A88">
        <w:lastRenderedPageBreak/>
        <w:t>B. Top Countries of Origin</w:t>
      </w:r>
      <w:r w:rsidR="00770A88">
        <w:br/>
      </w:r>
    </w:p>
    <w:p w14:paraId="034D7D4F" w14:textId="502ADA80" w:rsidR="009D681C" w:rsidRDefault="003D347C" w:rsidP="0081780B">
      <w:pPr>
        <w:ind w:left="360"/>
      </w:pPr>
      <w:r>
        <w:rPr>
          <w:noProof/>
        </w:rPr>
        <w:drawing>
          <wp:inline distT="0" distB="0" distL="0" distR="0" wp14:anchorId="37164F0C" wp14:editId="5288850C">
            <wp:extent cx="5201285" cy="3705225"/>
            <wp:effectExtent l="0" t="0" r="0" b="9525"/>
            <wp:docPr id="56665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285" cy="3705225"/>
                    </a:xfrm>
                    <a:prstGeom prst="rect">
                      <a:avLst/>
                    </a:prstGeom>
                    <a:noFill/>
                    <a:ln>
                      <a:noFill/>
                    </a:ln>
                  </pic:spPr>
                </pic:pic>
              </a:graphicData>
            </a:graphic>
          </wp:inline>
        </w:drawing>
      </w:r>
      <w:r>
        <w:br/>
        <w:t>- Insight: China leads in volume; these are the top ten traded country by volume</w:t>
      </w:r>
    </w:p>
    <w:p w14:paraId="4ECCF5A6" w14:textId="77777777" w:rsidR="009D681C" w:rsidRDefault="00770A88">
      <w:pPr>
        <w:pStyle w:val="Heading1"/>
      </w:pPr>
      <w:r>
        <w:t>Advanced Analysis &amp; Policy Evaluation</w:t>
      </w:r>
    </w:p>
    <w:p w14:paraId="27F8B2C2" w14:textId="0BF17CBF" w:rsidR="003D347C" w:rsidRDefault="00770A88" w:rsidP="003D347C">
      <w:pPr>
        <w:pStyle w:val="ListParagraph"/>
        <w:numPr>
          <w:ilvl w:val="0"/>
          <w:numId w:val="11"/>
        </w:numPr>
      </w:pPr>
      <w:r>
        <w:t>Correlation Insights</w:t>
      </w:r>
      <w:r>
        <w:br/>
        <w:t xml:space="preserve"> </w:t>
      </w:r>
      <w:r w:rsidR="00D20A69">
        <w:t>CIF</w:t>
      </w:r>
      <w:r>
        <w:t xml:space="preserve"> vs Tax: </w:t>
      </w:r>
    </w:p>
    <w:p w14:paraId="0AEE719B" w14:textId="77777777" w:rsidR="003D347C" w:rsidRDefault="003D347C" w:rsidP="003D347C">
      <w:pPr>
        <w:pStyle w:val="ListParagraph"/>
      </w:pPr>
    </w:p>
    <w:p w14:paraId="7888F277" w14:textId="77777777" w:rsidR="003D347C" w:rsidRDefault="003D347C" w:rsidP="003D347C">
      <w:pPr>
        <w:pStyle w:val="ListParagraph"/>
      </w:pPr>
      <w:r>
        <w:rPr>
          <w:noProof/>
        </w:rPr>
        <w:drawing>
          <wp:inline distT="0" distB="0" distL="0" distR="0" wp14:anchorId="41CB7A46" wp14:editId="20DE4360">
            <wp:extent cx="4457324" cy="2486025"/>
            <wp:effectExtent l="0" t="0" r="635" b="0"/>
            <wp:docPr id="1802353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771" cy="2502449"/>
                    </a:xfrm>
                    <a:prstGeom prst="rect">
                      <a:avLst/>
                    </a:prstGeom>
                    <a:noFill/>
                    <a:ln>
                      <a:noFill/>
                    </a:ln>
                  </pic:spPr>
                </pic:pic>
              </a:graphicData>
            </a:graphic>
          </wp:inline>
        </w:drawing>
      </w:r>
    </w:p>
    <w:p w14:paraId="38CAB10C" w14:textId="497D2AB5" w:rsidR="00D20A69" w:rsidRDefault="00770A88" w:rsidP="003D347C">
      <w:r>
        <w:lastRenderedPageBreak/>
        <w:br/>
      </w:r>
      <w:r>
        <w:br/>
        <w:t>B. Trend Analysis</w:t>
      </w:r>
      <w:r>
        <w:br/>
        <w:t>Line chart showing monthly volume trends</w:t>
      </w:r>
    </w:p>
    <w:p w14:paraId="665E42E3" w14:textId="0A38ECD9" w:rsidR="009D681C" w:rsidRDefault="00D20A69" w:rsidP="003D347C">
      <w:r>
        <w:rPr>
          <w:noProof/>
        </w:rPr>
        <w:drawing>
          <wp:inline distT="0" distB="0" distL="0" distR="0" wp14:anchorId="51DA8788" wp14:editId="6994C90A">
            <wp:extent cx="5486400" cy="3171825"/>
            <wp:effectExtent l="0" t="0" r="0" b="9525"/>
            <wp:docPr id="1650851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71825"/>
                    </a:xfrm>
                    <a:prstGeom prst="rect">
                      <a:avLst/>
                    </a:prstGeom>
                    <a:noFill/>
                    <a:ln>
                      <a:noFill/>
                    </a:ln>
                  </pic:spPr>
                </pic:pic>
              </a:graphicData>
            </a:graphic>
          </wp:inline>
        </w:drawing>
      </w:r>
    </w:p>
    <w:p w14:paraId="4938F3BA" w14:textId="77777777" w:rsidR="009D681C" w:rsidRDefault="00770A88">
      <w:pPr>
        <w:pStyle w:val="Heading1"/>
      </w:pPr>
      <w:r>
        <w:t>KPI Evaluation</w:t>
      </w:r>
    </w:p>
    <w:p w14:paraId="15565A61" w14:textId="77777777" w:rsidR="0070772F" w:rsidRDefault="00770A88" w:rsidP="00770A88">
      <w:r w:rsidRPr="00770A88">
        <w:rPr>
          <w:b/>
          <w:bCs/>
        </w:rPr>
        <w:t>Import Volume &amp; Value KPIs</w:t>
      </w:r>
    </w:p>
    <w:p w14:paraId="7578D30B" w14:textId="3ABD9052" w:rsidR="0070772F" w:rsidRDefault="00770A88" w:rsidP="0070772F">
      <w:pPr>
        <w:pStyle w:val="ListParagraph"/>
        <w:numPr>
          <w:ilvl w:val="0"/>
          <w:numId w:val="21"/>
        </w:numPr>
      </w:pPr>
      <w:r>
        <w:t xml:space="preserve">Total Import Value (FOB): </w:t>
      </w:r>
      <w:r w:rsidR="00591B83">
        <w:t>$</w:t>
      </w:r>
      <w:r w:rsidR="00CF1B7F" w:rsidRPr="00CF1B7F">
        <w:t>1,702,257,979,596.00</w:t>
      </w:r>
    </w:p>
    <w:p w14:paraId="4024CE06" w14:textId="41FBD721" w:rsidR="00591B83" w:rsidRPr="00591B83" w:rsidRDefault="00591B83" w:rsidP="0070772F">
      <w:pPr>
        <w:pStyle w:val="ListParagraph"/>
        <w:numPr>
          <w:ilvl w:val="0"/>
          <w:numId w:val="21"/>
        </w:numPr>
      </w:pPr>
      <w:r w:rsidRPr="0070772F">
        <w:rPr>
          <w:rStyle w:val="Strong"/>
          <w:b w:val="0"/>
          <w:bCs w:val="0"/>
        </w:rPr>
        <w:t>Total Import Value (CIF)</w:t>
      </w:r>
      <w:r w:rsidRPr="0070772F">
        <w:rPr>
          <w:b/>
          <w:bCs/>
        </w:rPr>
        <w:t>: $</w:t>
      </w:r>
      <w:r w:rsidRPr="00591B83">
        <w:t>1,820,915,950,052.00</w:t>
      </w:r>
    </w:p>
    <w:p w14:paraId="0BB4B91D" w14:textId="4ABF4B09" w:rsidR="0070772F" w:rsidRDefault="00770A88" w:rsidP="0070772F">
      <w:pPr>
        <w:pStyle w:val="ListParagraph"/>
        <w:numPr>
          <w:ilvl w:val="0"/>
          <w:numId w:val="21"/>
        </w:numPr>
      </w:pPr>
      <w:r>
        <w:t xml:space="preserve">Average Import Value: </w:t>
      </w:r>
      <w:r w:rsidR="00CF1B7F" w:rsidRPr="00CF1B7F">
        <w:t>Avg FOB per transaction:</w:t>
      </w:r>
      <w:r w:rsidR="0070772F">
        <w:t xml:space="preserve"> </w:t>
      </w:r>
    </w:p>
    <w:p w14:paraId="717CC55C" w14:textId="77777777" w:rsidR="0070772F" w:rsidRDefault="0070772F" w:rsidP="0070772F">
      <w:pPr>
        <w:pStyle w:val="ListParagraph"/>
        <w:numPr>
          <w:ilvl w:val="1"/>
          <w:numId w:val="21"/>
        </w:numPr>
      </w:pPr>
      <w:r w:rsidRPr="0070772F">
        <w:rPr>
          <w:rStyle w:val="Strong"/>
          <w:b w:val="0"/>
          <w:bCs w:val="0"/>
        </w:rPr>
        <w:t>FOB</w:t>
      </w:r>
      <w:r w:rsidRPr="0070772F">
        <w:rPr>
          <w:b/>
          <w:bCs/>
        </w:rPr>
        <w:t>:</w:t>
      </w:r>
      <w:r>
        <w:t xml:space="preserve"> $22,253,774.59</w:t>
      </w:r>
    </w:p>
    <w:p w14:paraId="27AE7D80" w14:textId="4A18E4A6" w:rsidR="0070772F" w:rsidRDefault="0070772F" w:rsidP="0070772F">
      <w:pPr>
        <w:pStyle w:val="ListParagraph"/>
        <w:numPr>
          <w:ilvl w:val="1"/>
          <w:numId w:val="21"/>
        </w:numPr>
      </w:pPr>
      <w:r w:rsidRPr="0070772F">
        <w:rPr>
          <w:rStyle w:val="Strong"/>
          <w:b w:val="0"/>
          <w:bCs w:val="0"/>
        </w:rPr>
        <w:t>CIF</w:t>
      </w:r>
      <w:r w:rsidRPr="0070772F">
        <w:rPr>
          <w:b/>
          <w:bCs/>
        </w:rPr>
        <w:t xml:space="preserve">: </w:t>
      </w:r>
      <w:r>
        <w:t>$23,805,001.11</w:t>
      </w:r>
    </w:p>
    <w:p w14:paraId="3CABA43A" w14:textId="255E47A5" w:rsidR="00591B83" w:rsidRPr="0070772F" w:rsidRDefault="000961E6" w:rsidP="0070772F">
      <w:pPr>
        <w:pStyle w:val="ListParagraph"/>
        <w:numPr>
          <w:ilvl w:val="0"/>
          <w:numId w:val="21"/>
        </w:numPr>
      </w:pPr>
      <w:r w:rsidRPr="0070772F">
        <w:rPr>
          <w:rStyle w:val="Strong"/>
          <w:b w:val="0"/>
          <w:bCs w:val="0"/>
        </w:rPr>
        <w:t>Average Mass per Transaction</w:t>
      </w:r>
      <w:r w:rsidRPr="0070772F">
        <w:rPr>
          <w:b/>
          <w:bCs/>
        </w:rPr>
        <w:t xml:space="preserve">: </w:t>
      </w:r>
      <w:r w:rsidRPr="0070772F">
        <w:rPr>
          <w:rStyle w:val="Strong"/>
          <w:b w:val="0"/>
          <w:bCs w:val="0"/>
        </w:rPr>
        <w:t>17,391.14 kg</w:t>
      </w:r>
    </w:p>
    <w:p w14:paraId="54AB0F56" w14:textId="0538918A" w:rsidR="00CF1B7F" w:rsidRDefault="00770A88" w:rsidP="0070772F">
      <w:pPr>
        <w:pStyle w:val="ListParagraph"/>
        <w:ind w:left="360"/>
      </w:pPr>
      <w:r>
        <w:t>Top Importing Countries</w:t>
      </w:r>
      <w:r w:rsidR="00CF1B7F">
        <w:t xml:space="preserve"> by FOB</w:t>
      </w:r>
      <w:r>
        <w:t xml:space="preserve">: </w:t>
      </w:r>
    </w:p>
    <w:tbl>
      <w:tblPr>
        <w:tblStyle w:val="GridTable5Dark-Accent1"/>
        <w:tblW w:w="0" w:type="auto"/>
        <w:tblLook w:val="04A0" w:firstRow="1" w:lastRow="0" w:firstColumn="1" w:lastColumn="0" w:noHBand="0" w:noVBand="1"/>
      </w:tblPr>
      <w:tblGrid>
        <w:gridCol w:w="1990"/>
        <w:gridCol w:w="1991"/>
        <w:gridCol w:w="1991"/>
      </w:tblGrid>
      <w:tr w:rsidR="000961E6" w14:paraId="1F2757DB" w14:textId="77777777" w:rsidTr="00770A8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0" w:type="dxa"/>
          </w:tcPr>
          <w:p w14:paraId="6CBFFAD7" w14:textId="0EDDBF3C" w:rsidR="000961E6" w:rsidRPr="000961E6" w:rsidRDefault="000961E6" w:rsidP="00CF1B7F">
            <w:pPr>
              <w:pStyle w:val="ListParagraph"/>
              <w:ind w:left="0"/>
            </w:pPr>
            <w:r>
              <w:t>Countries</w:t>
            </w:r>
          </w:p>
        </w:tc>
        <w:tc>
          <w:tcPr>
            <w:tcW w:w="1991" w:type="dxa"/>
          </w:tcPr>
          <w:p w14:paraId="1C06F195" w14:textId="4793CDF1" w:rsidR="000961E6" w:rsidRDefault="000961E6" w:rsidP="00CF1B7F">
            <w:pPr>
              <w:pStyle w:val="ListParagraph"/>
              <w:ind w:left="0"/>
              <w:cnfStyle w:val="100000000000" w:firstRow="1" w:lastRow="0" w:firstColumn="0" w:lastColumn="0" w:oddVBand="0" w:evenVBand="0" w:oddHBand="0" w:evenHBand="0" w:firstRowFirstColumn="0" w:firstRowLastColumn="0" w:lastRowFirstColumn="0" w:lastRowLastColumn="0"/>
            </w:pPr>
            <w:r>
              <w:t>Total FOB ($)</w:t>
            </w:r>
          </w:p>
        </w:tc>
        <w:tc>
          <w:tcPr>
            <w:tcW w:w="1991" w:type="dxa"/>
          </w:tcPr>
          <w:p w14:paraId="516EB51F" w14:textId="05433354" w:rsidR="000961E6" w:rsidRDefault="000961E6" w:rsidP="00CF1B7F">
            <w:pPr>
              <w:pStyle w:val="ListParagraph"/>
              <w:ind w:left="0"/>
              <w:cnfStyle w:val="100000000000" w:firstRow="1" w:lastRow="0" w:firstColumn="0" w:lastColumn="0" w:oddVBand="0" w:evenVBand="0" w:oddHBand="0" w:evenHBand="0" w:firstRowFirstColumn="0" w:firstRowLastColumn="0" w:lastRowFirstColumn="0" w:lastRowLastColumn="0"/>
            </w:pPr>
            <w:r>
              <w:t>% of Total</w:t>
            </w:r>
          </w:p>
        </w:tc>
      </w:tr>
      <w:tr w:rsidR="000961E6" w14:paraId="0F94C9E6" w14:textId="77777777" w:rsidTr="00770A8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0" w:type="dxa"/>
          </w:tcPr>
          <w:p w14:paraId="43622E1F" w14:textId="2941B154" w:rsidR="000961E6" w:rsidRDefault="000961E6" w:rsidP="00CF1B7F">
            <w:pPr>
              <w:pStyle w:val="ListParagraph"/>
              <w:ind w:left="0"/>
            </w:pPr>
            <w:r>
              <w:t>China</w:t>
            </w:r>
          </w:p>
        </w:tc>
        <w:tc>
          <w:tcPr>
            <w:tcW w:w="1991" w:type="dxa"/>
          </w:tcPr>
          <w:p w14:paraId="289032A1" w14:textId="583CAC0C" w:rsidR="000961E6" w:rsidRDefault="000961E6" w:rsidP="00CF1B7F">
            <w:pPr>
              <w:pStyle w:val="ListParagraph"/>
              <w:ind w:left="0"/>
              <w:cnfStyle w:val="000000100000" w:firstRow="0" w:lastRow="0" w:firstColumn="0" w:lastColumn="0" w:oddVBand="0" w:evenVBand="0" w:oddHBand="1" w:evenHBand="0" w:firstRowFirstColumn="0" w:firstRowLastColumn="0" w:lastRowFirstColumn="0" w:lastRowLastColumn="0"/>
            </w:pPr>
            <w:r w:rsidRPr="00CF1B7F">
              <w:t>667</w:t>
            </w:r>
            <w:r>
              <w:t>,</w:t>
            </w:r>
            <w:r w:rsidRPr="00CF1B7F">
              <w:t>423</w:t>
            </w:r>
            <w:r>
              <w:t>,</w:t>
            </w:r>
            <w:r w:rsidRPr="00CF1B7F">
              <w:t>362</w:t>
            </w:r>
            <w:r>
              <w:t>,</w:t>
            </w:r>
            <w:r w:rsidRPr="00CF1B7F">
              <w:t>775</w:t>
            </w:r>
          </w:p>
        </w:tc>
        <w:tc>
          <w:tcPr>
            <w:tcW w:w="1991" w:type="dxa"/>
          </w:tcPr>
          <w:p w14:paraId="3EF31C63" w14:textId="2339CDDE" w:rsidR="000961E6" w:rsidRDefault="000961E6" w:rsidP="00CF1B7F">
            <w:pPr>
              <w:pStyle w:val="ListParagraph"/>
              <w:ind w:left="0"/>
              <w:cnfStyle w:val="000000100000" w:firstRow="0" w:lastRow="0" w:firstColumn="0" w:lastColumn="0" w:oddVBand="0" w:evenVBand="0" w:oddHBand="1" w:evenHBand="0" w:firstRowFirstColumn="0" w:firstRowLastColumn="0" w:lastRowFirstColumn="0" w:lastRowLastColumn="0"/>
            </w:pPr>
            <w:r>
              <w:t>39.2%</w:t>
            </w:r>
          </w:p>
        </w:tc>
      </w:tr>
      <w:tr w:rsidR="000961E6" w14:paraId="3DE292B0" w14:textId="77777777" w:rsidTr="00770A88">
        <w:trPr>
          <w:trHeight w:val="250"/>
        </w:trPr>
        <w:tc>
          <w:tcPr>
            <w:cnfStyle w:val="001000000000" w:firstRow="0" w:lastRow="0" w:firstColumn="1" w:lastColumn="0" w:oddVBand="0" w:evenVBand="0" w:oddHBand="0" w:evenHBand="0" w:firstRowFirstColumn="0" w:firstRowLastColumn="0" w:lastRowFirstColumn="0" w:lastRowLastColumn="0"/>
            <w:tcW w:w="1990" w:type="dxa"/>
          </w:tcPr>
          <w:p w14:paraId="5A123E6A" w14:textId="40AEF83E" w:rsidR="000961E6" w:rsidRDefault="000961E6" w:rsidP="00CF1B7F">
            <w:pPr>
              <w:pStyle w:val="ListParagraph"/>
              <w:ind w:left="0"/>
            </w:pPr>
            <w:r>
              <w:t>Lebanon</w:t>
            </w:r>
          </w:p>
        </w:tc>
        <w:tc>
          <w:tcPr>
            <w:tcW w:w="1991" w:type="dxa"/>
          </w:tcPr>
          <w:p w14:paraId="08F15BC0" w14:textId="6E09AEB0" w:rsidR="000961E6" w:rsidRDefault="000961E6" w:rsidP="00CF1B7F">
            <w:pPr>
              <w:pStyle w:val="ListParagraph"/>
              <w:ind w:left="0"/>
              <w:cnfStyle w:val="000000000000" w:firstRow="0" w:lastRow="0" w:firstColumn="0" w:lastColumn="0" w:oddVBand="0" w:evenVBand="0" w:oddHBand="0" w:evenHBand="0" w:firstRowFirstColumn="0" w:firstRowLastColumn="0" w:lastRowFirstColumn="0" w:lastRowLastColumn="0"/>
            </w:pPr>
            <w:r w:rsidRPr="00CF1B7F">
              <w:t>114</w:t>
            </w:r>
            <w:r>
              <w:t>,</w:t>
            </w:r>
            <w:r w:rsidRPr="00CF1B7F">
              <w:t>343</w:t>
            </w:r>
            <w:r>
              <w:t>,</w:t>
            </w:r>
            <w:r w:rsidRPr="00CF1B7F">
              <w:t>994</w:t>
            </w:r>
            <w:r>
              <w:t>,</w:t>
            </w:r>
            <w:r w:rsidRPr="00CF1B7F">
              <w:t>910</w:t>
            </w:r>
          </w:p>
        </w:tc>
        <w:tc>
          <w:tcPr>
            <w:tcW w:w="1991" w:type="dxa"/>
          </w:tcPr>
          <w:p w14:paraId="2E59962A" w14:textId="5A1C5D26" w:rsidR="000961E6" w:rsidRDefault="000961E6" w:rsidP="00CF1B7F">
            <w:pPr>
              <w:pStyle w:val="ListParagraph"/>
              <w:ind w:left="0"/>
              <w:cnfStyle w:val="000000000000" w:firstRow="0" w:lastRow="0" w:firstColumn="0" w:lastColumn="0" w:oddVBand="0" w:evenVBand="0" w:oddHBand="0" w:evenHBand="0" w:firstRowFirstColumn="0" w:firstRowLastColumn="0" w:lastRowFirstColumn="0" w:lastRowLastColumn="0"/>
            </w:pPr>
            <w:r>
              <w:t>6.7%</w:t>
            </w:r>
          </w:p>
        </w:tc>
      </w:tr>
      <w:tr w:rsidR="000961E6" w14:paraId="7202474C" w14:textId="77777777" w:rsidTr="00770A8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0" w:type="dxa"/>
          </w:tcPr>
          <w:p w14:paraId="38224414" w14:textId="530806B8" w:rsidR="000961E6" w:rsidRDefault="000961E6" w:rsidP="00CF1B7F">
            <w:pPr>
              <w:pStyle w:val="ListParagraph"/>
              <w:ind w:left="0"/>
            </w:pPr>
            <w:r>
              <w:t>Italy</w:t>
            </w:r>
          </w:p>
        </w:tc>
        <w:tc>
          <w:tcPr>
            <w:tcW w:w="1991" w:type="dxa"/>
          </w:tcPr>
          <w:p w14:paraId="159A7A73" w14:textId="22EC53FE" w:rsidR="000961E6" w:rsidRDefault="000961E6" w:rsidP="00CF1B7F">
            <w:pPr>
              <w:pStyle w:val="ListParagraph"/>
              <w:ind w:left="0"/>
              <w:cnfStyle w:val="000000100000" w:firstRow="0" w:lastRow="0" w:firstColumn="0" w:lastColumn="0" w:oddVBand="0" w:evenVBand="0" w:oddHBand="1" w:evenHBand="0" w:firstRowFirstColumn="0" w:firstRowLastColumn="0" w:lastRowFirstColumn="0" w:lastRowLastColumn="0"/>
            </w:pPr>
            <w:r w:rsidRPr="00CF1B7F">
              <w:t>110</w:t>
            </w:r>
            <w:r>
              <w:t>,</w:t>
            </w:r>
            <w:r w:rsidRPr="00CF1B7F">
              <w:t>300</w:t>
            </w:r>
            <w:r>
              <w:t>,</w:t>
            </w:r>
            <w:r w:rsidRPr="00CF1B7F">
              <w:t>513</w:t>
            </w:r>
            <w:r>
              <w:t>,</w:t>
            </w:r>
            <w:r w:rsidRPr="00CF1B7F">
              <w:t>789</w:t>
            </w:r>
          </w:p>
        </w:tc>
        <w:tc>
          <w:tcPr>
            <w:tcW w:w="1991" w:type="dxa"/>
          </w:tcPr>
          <w:p w14:paraId="625856AE" w14:textId="5A471436" w:rsidR="000961E6"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t>6.5%</w:t>
            </w:r>
          </w:p>
        </w:tc>
      </w:tr>
      <w:tr w:rsidR="000961E6" w14:paraId="64AF4350" w14:textId="77777777" w:rsidTr="00770A88">
        <w:trPr>
          <w:trHeight w:val="266"/>
        </w:trPr>
        <w:tc>
          <w:tcPr>
            <w:cnfStyle w:val="001000000000" w:firstRow="0" w:lastRow="0" w:firstColumn="1" w:lastColumn="0" w:oddVBand="0" w:evenVBand="0" w:oddHBand="0" w:evenHBand="0" w:firstRowFirstColumn="0" w:firstRowLastColumn="0" w:lastRowFirstColumn="0" w:lastRowLastColumn="0"/>
            <w:tcW w:w="1990" w:type="dxa"/>
          </w:tcPr>
          <w:p w14:paraId="5C7612A3" w14:textId="17FA5248" w:rsidR="000961E6" w:rsidRDefault="00F51E45" w:rsidP="00CF1B7F">
            <w:pPr>
              <w:pStyle w:val="ListParagraph"/>
              <w:ind w:left="0"/>
            </w:pPr>
            <w:r>
              <w:t>United Kingdom</w:t>
            </w:r>
          </w:p>
        </w:tc>
        <w:tc>
          <w:tcPr>
            <w:tcW w:w="1991" w:type="dxa"/>
          </w:tcPr>
          <w:p w14:paraId="38B5E3F0" w14:textId="42D35B98" w:rsidR="000961E6"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92,498,330,110</w:t>
            </w:r>
          </w:p>
        </w:tc>
        <w:tc>
          <w:tcPr>
            <w:tcW w:w="1991" w:type="dxa"/>
          </w:tcPr>
          <w:p w14:paraId="34F6372B" w14:textId="0A04DA33" w:rsidR="000961E6"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5.4%</w:t>
            </w:r>
          </w:p>
        </w:tc>
      </w:tr>
      <w:tr w:rsidR="000961E6" w14:paraId="5C22F989" w14:textId="77777777" w:rsidTr="00770A8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0" w:type="dxa"/>
          </w:tcPr>
          <w:p w14:paraId="32B633F9" w14:textId="406952F6" w:rsidR="000961E6" w:rsidRDefault="00F51E45" w:rsidP="00CF1B7F">
            <w:pPr>
              <w:pStyle w:val="ListParagraph"/>
              <w:ind w:left="0"/>
            </w:pPr>
            <w:r>
              <w:t>Korean Republic</w:t>
            </w:r>
          </w:p>
        </w:tc>
        <w:tc>
          <w:tcPr>
            <w:tcW w:w="1991" w:type="dxa"/>
          </w:tcPr>
          <w:p w14:paraId="12F49E1E" w14:textId="23A08854" w:rsidR="000961E6"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rsidRPr="00CF1B7F">
              <w:t>78</w:t>
            </w:r>
            <w:r>
              <w:t>,</w:t>
            </w:r>
            <w:r w:rsidRPr="00CF1B7F">
              <w:t>740</w:t>
            </w:r>
            <w:r>
              <w:t>,</w:t>
            </w:r>
            <w:r w:rsidRPr="00CF1B7F">
              <w:t>311</w:t>
            </w:r>
            <w:r>
              <w:t>,</w:t>
            </w:r>
            <w:r w:rsidRPr="00CF1B7F">
              <w:t>239</w:t>
            </w:r>
          </w:p>
        </w:tc>
        <w:tc>
          <w:tcPr>
            <w:tcW w:w="1991" w:type="dxa"/>
          </w:tcPr>
          <w:p w14:paraId="4D62A363" w14:textId="5CCF532E" w:rsidR="000961E6"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t>4.6%</w:t>
            </w:r>
          </w:p>
        </w:tc>
      </w:tr>
      <w:tr w:rsidR="000961E6" w14:paraId="6D81F120" w14:textId="77777777" w:rsidTr="00770A88">
        <w:trPr>
          <w:trHeight w:val="250"/>
        </w:trPr>
        <w:tc>
          <w:tcPr>
            <w:cnfStyle w:val="001000000000" w:firstRow="0" w:lastRow="0" w:firstColumn="1" w:lastColumn="0" w:oddVBand="0" w:evenVBand="0" w:oddHBand="0" w:evenHBand="0" w:firstRowFirstColumn="0" w:firstRowLastColumn="0" w:lastRowFirstColumn="0" w:lastRowLastColumn="0"/>
            <w:tcW w:w="1990" w:type="dxa"/>
          </w:tcPr>
          <w:p w14:paraId="44CBDE2D" w14:textId="3210B467" w:rsidR="000961E6" w:rsidRDefault="00F51E45" w:rsidP="00CF1B7F">
            <w:pPr>
              <w:pStyle w:val="ListParagraph"/>
              <w:ind w:left="0"/>
            </w:pPr>
            <w:r>
              <w:t>United States</w:t>
            </w:r>
          </w:p>
        </w:tc>
        <w:tc>
          <w:tcPr>
            <w:tcW w:w="1991" w:type="dxa"/>
          </w:tcPr>
          <w:p w14:paraId="5C174348" w14:textId="5AE7059F" w:rsidR="000961E6"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74,733,363,981</w:t>
            </w:r>
          </w:p>
        </w:tc>
        <w:tc>
          <w:tcPr>
            <w:tcW w:w="1991" w:type="dxa"/>
          </w:tcPr>
          <w:p w14:paraId="037D0052" w14:textId="6E290CBE" w:rsidR="000961E6"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4.4%</w:t>
            </w:r>
          </w:p>
        </w:tc>
      </w:tr>
      <w:tr w:rsidR="000961E6" w14:paraId="4D122570" w14:textId="77777777" w:rsidTr="00770A8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0" w:type="dxa"/>
          </w:tcPr>
          <w:p w14:paraId="2D0C4054" w14:textId="5B1B72F5" w:rsidR="000961E6" w:rsidRDefault="00F51E45" w:rsidP="00CF1B7F">
            <w:pPr>
              <w:pStyle w:val="ListParagraph"/>
              <w:ind w:left="0"/>
            </w:pPr>
            <w:r>
              <w:t>Sweden</w:t>
            </w:r>
          </w:p>
        </w:tc>
        <w:tc>
          <w:tcPr>
            <w:tcW w:w="1991" w:type="dxa"/>
          </w:tcPr>
          <w:p w14:paraId="4A0C98FA" w14:textId="0EB8F687" w:rsidR="000961E6"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t>68,901,520,503</w:t>
            </w:r>
          </w:p>
        </w:tc>
        <w:tc>
          <w:tcPr>
            <w:tcW w:w="1991" w:type="dxa"/>
          </w:tcPr>
          <w:p w14:paraId="60558D14" w14:textId="74D017AC" w:rsidR="000961E6"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t>4.0%</w:t>
            </w:r>
          </w:p>
        </w:tc>
      </w:tr>
      <w:tr w:rsidR="00F51E45" w14:paraId="70C1D3F7" w14:textId="77777777" w:rsidTr="00770A88">
        <w:trPr>
          <w:trHeight w:val="266"/>
        </w:trPr>
        <w:tc>
          <w:tcPr>
            <w:cnfStyle w:val="001000000000" w:firstRow="0" w:lastRow="0" w:firstColumn="1" w:lastColumn="0" w:oddVBand="0" w:evenVBand="0" w:oddHBand="0" w:evenHBand="0" w:firstRowFirstColumn="0" w:firstRowLastColumn="0" w:lastRowFirstColumn="0" w:lastRowLastColumn="0"/>
            <w:tcW w:w="1990" w:type="dxa"/>
          </w:tcPr>
          <w:p w14:paraId="1DC80DBF" w14:textId="584D79B6" w:rsidR="00F51E45" w:rsidRDefault="00F51E45" w:rsidP="00CF1B7F">
            <w:pPr>
              <w:pStyle w:val="ListParagraph"/>
              <w:ind w:left="0"/>
            </w:pPr>
            <w:r>
              <w:t>South Africa</w:t>
            </w:r>
          </w:p>
        </w:tc>
        <w:tc>
          <w:tcPr>
            <w:tcW w:w="1991" w:type="dxa"/>
          </w:tcPr>
          <w:p w14:paraId="1EC4147C" w14:textId="6B315C64" w:rsidR="00F51E45"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61,894,973,861</w:t>
            </w:r>
          </w:p>
        </w:tc>
        <w:tc>
          <w:tcPr>
            <w:tcW w:w="1991" w:type="dxa"/>
          </w:tcPr>
          <w:p w14:paraId="63528B96" w14:textId="3D860090" w:rsidR="00F51E45"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3.6%</w:t>
            </w:r>
          </w:p>
        </w:tc>
      </w:tr>
      <w:tr w:rsidR="00F51E45" w14:paraId="38A13C8E" w14:textId="77777777" w:rsidTr="00770A8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0" w:type="dxa"/>
          </w:tcPr>
          <w:p w14:paraId="2E6A08C7" w14:textId="31E17D1F" w:rsidR="00F51E45" w:rsidRDefault="00F51E45" w:rsidP="00CF1B7F">
            <w:pPr>
              <w:pStyle w:val="ListParagraph"/>
              <w:ind w:left="0"/>
            </w:pPr>
            <w:r>
              <w:t>Hong Kong</w:t>
            </w:r>
          </w:p>
        </w:tc>
        <w:tc>
          <w:tcPr>
            <w:tcW w:w="1991" w:type="dxa"/>
          </w:tcPr>
          <w:p w14:paraId="34DF9375" w14:textId="01717A86" w:rsidR="00F51E45"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t>39,777,956,468</w:t>
            </w:r>
          </w:p>
        </w:tc>
        <w:tc>
          <w:tcPr>
            <w:tcW w:w="1991" w:type="dxa"/>
          </w:tcPr>
          <w:p w14:paraId="0028CF31" w14:textId="12316CE7" w:rsidR="00F51E45" w:rsidRDefault="00F51E45" w:rsidP="00CF1B7F">
            <w:pPr>
              <w:pStyle w:val="ListParagraph"/>
              <w:ind w:left="0"/>
              <w:cnfStyle w:val="000000100000" w:firstRow="0" w:lastRow="0" w:firstColumn="0" w:lastColumn="0" w:oddVBand="0" w:evenVBand="0" w:oddHBand="1" w:evenHBand="0" w:firstRowFirstColumn="0" w:firstRowLastColumn="0" w:lastRowFirstColumn="0" w:lastRowLastColumn="0"/>
            </w:pPr>
            <w:r>
              <w:t>2.3%</w:t>
            </w:r>
          </w:p>
        </w:tc>
      </w:tr>
      <w:tr w:rsidR="00F51E45" w14:paraId="522EB6E8" w14:textId="77777777" w:rsidTr="00770A88">
        <w:trPr>
          <w:trHeight w:val="266"/>
        </w:trPr>
        <w:tc>
          <w:tcPr>
            <w:cnfStyle w:val="001000000000" w:firstRow="0" w:lastRow="0" w:firstColumn="1" w:lastColumn="0" w:oddVBand="0" w:evenVBand="0" w:oddHBand="0" w:evenHBand="0" w:firstRowFirstColumn="0" w:firstRowLastColumn="0" w:lastRowFirstColumn="0" w:lastRowLastColumn="0"/>
            <w:tcW w:w="1990" w:type="dxa"/>
          </w:tcPr>
          <w:p w14:paraId="6CC2C92E" w14:textId="162154F2" w:rsidR="00F51E45" w:rsidRDefault="00F51E45" w:rsidP="00CF1B7F">
            <w:pPr>
              <w:pStyle w:val="ListParagraph"/>
              <w:ind w:left="0"/>
            </w:pPr>
            <w:r>
              <w:t>India</w:t>
            </w:r>
          </w:p>
        </w:tc>
        <w:tc>
          <w:tcPr>
            <w:tcW w:w="1991" w:type="dxa"/>
          </w:tcPr>
          <w:p w14:paraId="07ACE4D2" w14:textId="38BD73F0" w:rsidR="00F51E45"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10,452,019,535</w:t>
            </w:r>
          </w:p>
        </w:tc>
        <w:tc>
          <w:tcPr>
            <w:tcW w:w="1991" w:type="dxa"/>
          </w:tcPr>
          <w:p w14:paraId="0ED3108D" w14:textId="7890E391" w:rsidR="00F51E45" w:rsidRDefault="00F51E45" w:rsidP="00CF1B7F">
            <w:pPr>
              <w:pStyle w:val="ListParagraph"/>
              <w:ind w:left="0"/>
              <w:cnfStyle w:val="000000000000" w:firstRow="0" w:lastRow="0" w:firstColumn="0" w:lastColumn="0" w:oddVBand="0" w:evenVBand="0" w:oddHBand="0" w:evenHBand="0" w:firstRowFirstColumn="0" w:firstRowLastColumn="0" w:lastRowFirstColumn="0" w:lastRowLastColumn="0"/>
            </w:pPr>
            <w:r>
              <w:t>0.6%</w:t>
            </w:r>
          </w:p>
        </w:tc>
      </w:tr>
    </w:tbl>
    <w:p w14:paraId="1D1A728E" w14:textId="77777777" w:rsidR="00F51E45" w:rsidRDefault="00F51E45" w:rsidP="000961E6"/>
    <w:p w14:paraId="2CAD1D28" w14:textId="77777777" w:rsidR="00F51E45" w:rsidRDefault="00F51E45" w:rsidP="000961E6">
      <w:r>
        <w:t xml:space="preserve">China dominates import value, contributing over </w:t>
      </w:r>
      <w:r>
        <w:rPr>
          <w:rStyle w:val="Strong"/>
        </w:rPr>
        <w:t>39%</w:t>
      </w:r>
      <w:r>
        <w:t xml:space="preserve"> of total FOB. The top 3 countries account for over </w:t>
      </w:r>
      <w:r>
        <w:rPr>
          <w:rStyle w:val="Strong"/>
        </w:rPr>
        <w:t>52%</w:t>
      </w:r>
      <w:r>
        <w:t>, suggesting import dependence on a narrow group of trading partners.</w:t>
      </w:r>
    </w:p>
    <w:p w14:paraId="4AAC5641" w14:textId="77777777" w:rsidR="00770A88" w:rsidRDefault="00F51E45" w:rsidP="000961E6">
      <w:r>
        <w:t xml:space="preserve">The </w:t>
      </w:r>
      <w:r>
        <w:rPr>
          <w:rStyle w:val="Strong"/>
        </w:rPr>
        <w:t>import value distribution</w:t>
      </w:r>
      <w:r>
        <w:t xml:space="preserve"> is highly </w:t>
      </w:r>
      <w:r>
        <w:rPr>
          <w:rStyle w:val="Strong"/>
        </w:rPr>
        <w:t>right-skewed</w:t>
      </w:r>
      <w:r>
        <w:t>, with a small number of countries responsible for a disproportionate share of trade</w:t>
      </w:r>
      <w:r w:rsidR="0002493A">
        <w:t>.</w:t>
      </w:r>
    </w:p>
    <w:p w14:paraId="088773F8" w14:textId="77777777" w:rsidR="00770A88" w:rsidRDefault="00CF1B7F" w:rsidP="000961E6">
      <w:r>
        <w:br/>
      </w:r>
      <w:r w:rsidRPr="00770A88">
        <w:rPr>
          <w:b/>
          <w:bCs/>
        </w:rPr>
        <w:t>Taxation &amp; Revenue KPIs</w:t>
      </w:r>
    </w:p>
    <w:p w14:paraId="7ADF1550" w14:textId="491D6A65" w:rsidR="00770A88" w:rsidRDefault="00CF1B7F" w:rsidP="00770A88">
      <w:pPr>
        <w:pStyle w:val="ListParagraph"/>
        <w:numPr>
          <w:ilvl w:val="0"/>
          <w:numId w:val="25"/>
        </w:numPr>
      </w:pPr>
      <w:r>
        <w:t xml:space="preserve">Total Tax Collected: </w:t>
      </w:r>
      <w:r w:rsidR="00924EDA">
        <w:t xml:space="preserve">$ </w:t>
      </w:r>
      <w:r w:rsidR="00924EDA" w:rsidRPr="00924EDA">
        <w:t>251,393,817,308.00</w:t>
      </w:r>
    </w:p>
    <w:p w14:paraId="69C7D7A2" w14:textId="12845C8C" w:rsidR="00272C5F" w:rsidRDefault="00CF1B7F" w:rsidP="00770A88">
      <w:pPr>
        <w:pStyle w:val="ListParagraph"/>
        <w:numPr>
          <w:ilvl w:val="0"/>
          <w:numId w:val="25"/>
        </w:numPr>
      </w:pPr>
      <w:r>
        <w:t>Average Tax per Transaction:</w:t>
      </w:r>
      <w:r w:rsidR="00924EDA">
        <w:t xml:space="preserve"> $</w:t>
      </w:r>
      <w:r>
        <w:t xml:space="preserve"> </w:t>
      </w:r>
      <w:r w:rsidR="00924EDA" w:rsidRPr="00924EDA">
        <w:t>3,286,494.42</w:t>
      </w:r>
    </w:p>
    <w:p w14:paraId="277BADDF" w14:textId="590C1BBE" w:rsidR="00770A88" w:rsidRDefault="00272C5F" w:rsidP="00770A88">
      <w:pPr>
        <w:pStyle w:val="ListParagraph"/>
        <w:numPr>
          <w:ilvl w:val="0"/>
          <w:numId w:val="25"/>
        </w:numPr>
      </w:pPr>
      <w:r>
        <w:t>Tax Efficiency Ratio</w:t>
      </w:r>
      <w:r w:rsidR="00770A88">
        <w:t>:</w:t>
      </w:r>
    </w:p>
    <w:p w14:paraId="7E2395A0" w14:textId="00A07A2D" w:rsidR="00272C5F" w:rsidRDefault="00924EDA" w:rsidP="00770A88">
      <w:pPr>
        <w:pStyle w:val="ListParagraph"/>
        <w:numPr>
          <w:ilvl w:val="0"/>
          <w:numId w:val="26"/>
        </w:numPr>
      </w:pPr>
      <w:r w:rsidRPr="00924EDA">
        <w:t>Tax-to Ratio: 14.77%</w:t>
      </w:r>
      <w:r>
        <w:t xml:space="preserve"> </w:t>
      </w:r>
    </w:p>
    <w:p w14:paraId="14E0EF6D" w14:textId="5578B08E" w:rsidR="00924EDA" w:rsidRDefault="00924EDA" w:rsidP="00770A88">
      <w:pPr>
        <w:pStyle w:val="ListParagraph"/>
        <w:numPr>
          <w:ilvl w:val="0"/>
          <w:numId w:val="26"/>
        </w:numPr>
      </w:pPr>
      <w:r w:rsidRPr="00924EDA">
        <w:t>Tax-to-CIF Ratio: 13.81%</w:t>
      </w:r>
    </w:p>
    <w:p w14:paraId="6E337BA8" w14:textId="31222E61" w:rsidR="00272C5F" w:rsidRDefault="00272C5F" w:rsidP="000961E6">
      <w:r>
        <w:t xml:space="preserve">Tax collection appears proportionate to FOB values, with a fairly stable average tax-to-value ratio around 14%. However, certain </w:t>
      </w:r>
      <w:r>
        <w:rPr>
          <w:rStyle w:val="Strong"/>
        </w:rPr>
        <w:t>HS categories and countries</w:t>
      </w:r>
      <w:r>
        <w:t xml:space="preserve"> significantly deviate from this ratio, indicating potential under-taxation or exemptions. Example: “Raw hides and skins” has a </w:t>
      </w:r>
      <w:r>
        <w:rPr>
          <w:rStyle w:val="Strong"/>
        </w:rPr>
        <w:t xml:space="preserve">Tax-to-CIF ratio of just 2.0%. </w:t>
      </w:r>
    </w:p>
    <w:p w14:paraId="795876A5" w14:textId="77777777" w:rsidR="00770A88" w:rsidRDefault="00770A88" w:rsidP="00924EDA">
      <w:r>
        <w:br/>
      </w:r>
      <w:r>
        <w:br/>
      </w:r>
      <w:r w:rsidRPr="00770A88">
        <w:rPr>
          <w:b/>
          <w:bCs/>
        </w:rPr>
        <w:t>Logistics &amp; Shipment KPIs</w:t>
      </w:r>
    </w:p>
    <w:p w14:paraId="57EB3760" w14:textId="01AD8874" w:rsidR="00DD30FF" w:rsidRDefault="00770A88" w:rsidP="00770A88">
      <w:pPr>
        <w:pStyle w:val="ListParagraph"/>
        <w:numPr>
          <w:ilvl w:val="0"/>
          <w:numId w:val="27"/>
        </w:numPr>
      </w:pPr>
      <w:r>
        <w:t xml:space="preserve">Total Shipments: </w:t>
      </w:r>
      <w:r w:rsidR="00924EDA" w:rsidRPr="00924EDA">
        <w:t>76493</w:t>
      </w:r>
    </w:p>
    <w:p w14:paraId="753D68C8" w14:textId="37308BCB" w:rsidR="00DD30FF" w:rsidRDefault="00DD30FF" w:rsidP="00770A88">
      <w:pPr>
        <w:pStyle w:val="ListParagraph"/>
        <w:numPr>
          <w:ilvl w:val="0"/>
          <w:numId w:val="27"/>
        </w:numPr>
      </w:pPr>
      <w:r w:rsidRPr="00770A88">
        <w:rPr>
          <w:rStyle w:val="Strong"/>
          <w:b w:val="0"/>
          <w:bCs w:val="0"/>
        </w:rPr>
        <w:t>Average Containers per Transaction</w:t>
      </w:r>
      <w:r w:rsidRPr="00770A88">
        <w:rPr>
          <w:b/>
          <w:bCs/>
        </w:rPr>
        <w:t xml:space="preserve">: </w:t>
      </w:r>
      <w:r w:rsidRPr="00DD30FF">
        <w:t>44.52</w:t>
      </w:r>
    </w:p>
    <w:p w14:paraId="574A283A" w14:textId="77777777" w:rsidR="00770A88" w:rsidRDefault="00DD30FF" w:rsidP="00770A88">
      <w:pPr>
        <w:pStyle w:val="ListParagraph"/>
        <w:numPr>
          <w:ilvl w:val="0"/>
          <w:numId w:val="27"/>
        </w:numPr>
      </w:pPr>
      <w:r w:rsidRPr="00770A88">
        <w:rPr>
          <w:rStyle w:val="Strong"/>
          <w:b w:val="0"/>
          <w:bCs w:val="0"/>
        </w:rPr>
        <w:t>Most Common Container Size</w:t>
      </w:r>
      <w:r w:rsidRPr="00770A88">
        <w:rPr>
          <w:b/>
          <w:bCs/>
        </w:rPr>
        <w:t>:</w:t>
      </w:r>
      <w:r>
        <w:t xml:space="preserve"> 40ft</w:t>
      </w:r>
    </w:p>
    <w:p w14:paraId="144DD7E1" w14:textId="74E02DCE" w:rsidR="00924EDA" w:rsidRDefault="00770A88" w:rsidP="00770A88">
      <w:pPr>
        <w:pStyle w:val="ListParagraph"/>
        <w:numPr>
          <w:ilvl w:val="0"/>
          <w:numId w:val="27"/>
        </w:numPr>
      </w:pPr>
      <w:r>
        <w:t xml:space="preserve">Total Weight of Imports by </w:t>
      </w:r>
      <w:r w:rsidR="00487771">
        <w:t xml:space="preserve">top </w:t>
      </w:r>
      <w:r>
        <w:t>Country</w:t>
      </w:r>
      <w:r w:rsidR="00487771">
        <w:t xml:space="preserve"> of Supply</w:t>
      </w:r>
      <w:r>
        <w:t>:</w:t>
      </w:r>
    </w:p>
    <w:tbl>
      <w:tblPr>
        <w:tblStyle w:val="GridTable5Dark-Accent1"/>
        <w:tblW w:w="0" w:type="auto"/>
        <w:tblLook w:val="04A0" w:firstRow="1" w:lastRow="0" w:firstColumn="1" w:lastColumn="0" w:noHBand="0" w:noVBand="1"/>
      </w:tblPr>
      <w:tblGrid>
        <w:gridCol w:w="2333"/>
        <w:gridCol w:w="2334"/>
        <w:gridCol w:w="1461"/>
      </w:tblGrid>
      <w:tr w:rsidR="00487771" w14:paraId="5E823E65" w14:textId="77777777" w:rsidTr="00770A88">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333" w:type="dxa"/>
          </w:tcPr>
          <w:p w14:paraId="6F08D36B" w14:textId="3C59C259" w:rsidR="00487771" w:rsidRDefault="00487771" w:rsidP="00924EDA">
            <w:r>
              <w:t>Country</w:t>
            </w:r>
          </w:p>
        </w:tc>
        <w:tc>
          <w:tcPr>
            <w:tcW w:w="2334" w:type="dxa"/>
          </w:tcPr>
          <w:p w14:paraId="40A3921A" w14:textId="6266E222" w:rsidR="00487771" w:rsidRDefault="00487771" w:rsidP="00924EDA">
            <w:pPr>
              <w:cnfStyle w:val="100000000000" w:firstRow="1" w:lastRow="0" w:firstColumn="0" w:lastColumn="0" w:oddVBand="0" w:evenVBand="0" w:oddHBand="0" w:evenHBand="0" w:firstRowFirstColumn="0" w:firstRowLastColumn="0" w:lastRowFirstColumn="0" w:lastRowLastColumn="0"/>
            </w:pPr>
            <w:r>
              <w:t>Total Mass (KG)</w:t>
            </w:r>
          </w:p>
        </w:tc>
        <w:tc>
          <w:tcPr>
            <w:tcW w:w="1461" w:type="dxa"/>
          </w:tcPr>
          <w:p w14:paraId="5E28CE61" w14:textId="1573C1F7" w:rsidR="00487771" w:rsidRDefault="00487771" w:rsidP="00924EDA">
            <w:pPr>
              <w:cnfStyle w:val="100000000000" w:firstRow="1" w:lastRow="0" w:firstColumn="0" w:lastColumn="0" w:oddVBand="0" w:evenVBand="0" w:oddHBand="0" w:evenHBand="0" w:firstRowFirstColumn="0" w:firstRowLastColumn="0" w:lastRowFirstColumn="0" w:lastRowLastColumn="0"/>
            </w:pPr>
            <w:r>
              <w:t>% of Total</w:t>
            </w:r>
          </w:p>
        </w:tc>
      </w:tr>
      <w:tr w:rsidR="00487771" w14:paraId="10B7AF3A" w14:textId="77777777" w:rsidTr="00770A8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333" w:type="dxa"/>
          </w:tcPr>
          <w:p w14:paraId="45A09CC1" w14:textId="5517AFEC" w:rsidR="00487771" w:rsidRDefault="00487771" w:rsidP="00924EDA">
            <w:r>
              <w:t>China</w:t>
            </w:r>
          </w:p>
        </w:tc>
        <w:tc>
          <w:tcPr>
            <w:tcW w:w="2334" w:type="dxa"/>
          </w:tcPr>
          <w:p w14:paraId="3DAA7FD1" w14:textId="08C4E27B" w:rsidR="00487771" w:rsidRDefault="00487771" w:rsidP="00924EDA">
            <w:pPr>
              <w:cnfStyle w:val="000000100000" w:firstRow="0" w:lastRow="0" w:firstColumn="0" w:lastColumn="0" w:oddVBand="0" w:evenVBand="0" w:oddHBand="1" w:evenHBand="0" w:firstRowFirstColumn="0" w:firstRowLastColumn="0" w:lastRowFirstColumn="0" w:lastRowLastColumn="0"/>
            </w:pPr>
            <w:r w:rsidRPr="00924EDA">
              <w:t>682472717</w:t>
            </w:r>
          </w:p>
        </w:tc>
        <w:tc>
          <w:tcPr>
            <w:tcW w:w="1461" w:type="dxa"/>
          </w:tcPr>
          <w:p w14:paraId="50F63763" w14:textId="59612896" w:rsidR="00487771" w:rsidRDefault="00C02E4D" w:rsidP="00924EDA">
            <w:pPr>
              <w:cnfStyle w:val="000000100000" w:firstRow="0" w:lastRow="0" w:firstColumn="0" w:lastColumn="0" w:oddVBand="0" w:evenVBand="0" w:oddHBand="1" w:evenHBand="0" w:firstRowFirstColumn="0" w:firstRowLastColumn="0" w:lastRowFirstColumn="0" w:lastRowLastColumn="0"/>
            </w:pPr>
            <w:r>
              <w:t>51.3%</w:t>
            </w:r>
          </w:p>
        </w:tc>
      </w:tr>
      <w:tr w:rsidR="00487771" w14:paraId="43D145B9" w14:textId="77777777" w:rsidTr="00770A88">
        <w:trPr>
          <w:trHeight w:val="370"/>
        </w:trPr>
        <w:tc>
          <w:tcPr>
            <w:cnfStyle w:val="001000000000" w:firstRow="0" w:lastRow="0" w:firstColumn="1" w:lastColumn="0" w:oddVBand="0" w:evenVBand="0" w:oddHBand="0" w:evenHBand="0" w:firstRowFirstColumn="0" w:firstRowLastColumn="0" w:lastRowFirstColumn="0" w:lastRowLastColumn="0"/>
            <w:tcW w:w="2333" w:type="dxa"/>
          </w:tcPr>
          <w:p w14:paraId="71CA0AE0" w14:textId="2CECF323" w:rsidR="00487771" w:rsidRDefault="00487771" w:rsidP="00924EDA">
            <w:r>
              <w:t>India</w:t>
            </w:r>
          </w:p>
        </w:tc>
        <w:tc>
          <w:tcPr>
            <w:tcW w:w="2334" w:type="dxa"/>
          </w:tcPr>
          <w:p w14:paraId="6F10262A" w14:textId="193863C1" w:rsidR="00487771" w:rsidRDefault="00487771" w:rsidP="00924EDA">
            <w:pPr>
              <w:cnfStyle w:val="000000000000" w:firstRow="0" w:lastRow="0" w:firstColumn="0" w:lastColumn="0" w:oddVBand="0" w:evenVBand="0" w:oddHBand="0" w:evenHBand="0" w:firstRowFirstColumn="0" w:firstRowLastColumn="0" w:lastRowFirstColumn="0" w:lastRowLastColumn="0"/>
            </w:pPr>
            <w:r w:rsidRPr="00924EDA">
              <w:t>139141749</w:t>
            </w:r>
          </w:p>
        </w:tc>
        <w:tc>
          <w:tcPr>
            <w:tcW w:w="1461" w:type="dxa"/>
          </w:tcPr>
          <w:p w14:paraId="5994FD96" w14:textId="20B13830" w:rsidR="00487771" w:rsidRDefault="00C02E4D" w:rsidP="00924EDA">
            <w:pPr>
              <w:cnfStyle w:val="000000000000" w:firstRow="0" w:lastRow="0" w:firstColumn="0" w:lastColumn="0" w:oddVBand="0" w:evenVBand="0" w:oddHBand="0" w:evenHBand="0" w:firstRowFirstColumn="0" w:firstRowLastColumn="0" w:lastRowFirstColumn="0" w:lastRowLastColumn="0"/>
            </w:pPr>
            <w:r>
              <w:t>10.5%</w:t>
            </w:r>
          </w:p>
        </w:tc>
      </w:tr>
      <w:tr w:rsidR="00487771" w14:paraId="6152CD6B" w14:textId="77777777" w:rsidTr="00770A8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33" w:type="dxa"/>
          </w:tcPr>
          <w:p w14:paraId="4E6CA911" w14:textId="4332761C" w:rsidR="00487771" w:rsidRDefault="00487771" w:rsidP="00924EDA">
            <w:r>
              <w:t>Italy</w:t>
            </w:r>
          </w:p>
        </w:tc>
        <w:tc>
          <w:tcPr>
            <w:tcW w:w="2334" w:type="dxa"/>
          </w:tcPr>
          <w:p w14:paraId="399EC95E" w14:textId="01E9FA6D" w:rsidR="00487771" w:rsidRDefault="00487771" w:rsidP="00924EDA">
            <w:pPr>
              <w:cnfStyle w:val="000000100000" w:firstRow="0" w:lastRow="0" w:firstColumn="0" w:lastColumn="0" w:oddVBand="0" w:evenVBand="0" w:oddHBand="1" w:evenHBand="0" w:firstRowFirstColumn="0" w:firstRowLastColumn="0" w:lastRowFirstColumn="0" w:lastRowLastColumn="0"/>
            </w:pPr>
            <w:r w:rsidRPr="00924EDA">
              <w:t>134743493</w:t>
            </w:r>
          </w:p>
        </w:tc>
        <w:tc>
          <w:tcPr>
            <w:tcW w:w="1461" w:type="dxa"/>
          </w:tcPr>
          <w:p w14:paraId="1B9FECF9" w14:textId="7E85A167" w:rsidR="00487771" w:rsidRDefault="00C02E4D" w:rsidP="00924EDA">
            <w:pPr>
              <w:cnfStyle w:val="000000100000" w:firstRow="0" w:lastRow="0" w:firstColumn="0" w:lastColumn="0" w:oddVBand="0" w:evenVBand="0" w:oddHBand="1" w:evenHBand="0" w:firstRowFirstColumn="0" w:firstRowLastColumn="0" w:lastRowFirstColumn="0" w:lastRowLastColumn="0"/>
            </w:pPr>
            <w:r>
              <w:t>10.1%</w:t>
            </w:r>
          </w:p>
        </w:tc>
      </w:tr>
      <w:tr w:rsidR="00487771" w14:paraId="6693983C" w14:textId="77777777" w:rsidTr="00770A88">
        <w:trPr>
          <w:trHeight w:val="370"/>
        </w:trPr>
        <w:tc>
          <w:tcPr>
            <w:cnfStyle w:val="001000000000" w:firstRow="0" w:lastRow="0" w:firstColumn="1" w:lastColumn="0" w:oddVBand="0" w:evenVBand="0" w:oddHBand="0" w:evenHBand="0" w:firstRowFirstColumn="0" w:firstRowLastColumn="0" w:lastRowFirstColumn="0" w:lastRowLastColumn="0"/>
            <w:tcW w:w="2333" w:type="dxa"/>
          </w:tcPr>
          <w:p w14:paraId="409F6E38" w14:textId="52F0E8EC" w:rsidR="00487771" w:rsidRDefault="00487771" w:rsidP="00924EDA">
            <w:r>
              <w:t>United State</w:t>
            </w:r>
          </w:p>
        </w:tc>
        <w:tc>
          <w:tcPr>
            <w:tcW w:w="2334" w:type="dxa"/>
          </w:tcPr>
          <w:p w14:paraId="3F5426D9" w14:textId="7F247BF9" w:rsidR="00487771" w:rsidRDefault="00487771" w:rsidP="00924EDA">
            <w:pPr>
              <w:cnfStyle w:val="000000000000" w:firstRow="0" w:lastRow="0" w:firstColumn="0" w:lastColumn="0" w:oddVBand="0" w:evenVBand="0" w:oddHBand="0" w:evenHBand="0" w:firstRowFirstColumn="0" w:firstRowLastColumn="0" w:lastRowFirstColumn="0" w:lastRowLastColumn="0"/>
            </w:pPr>
            <w:r w:rsidRPr="00924EDA">
              <w:t>77375724</w:t>
            </w:r>
          </w:p>
        </w:tc>
        <w:tc>
          <w:tcPr>
            <w:tcW w:w="1461" w:type="dxa"/>
          </w:tcPr>
          <w:p w14:paraId="1A6317C5" w14:textId="74393507" w:rsidR="00487771" w:rsidRDefault="00C02E4D" w:rsidP="00924EDA">
            <w:pPr>
              <w:cnfStyle w:val="000000000000" w:firstRow="0" w:lastRow="0" w:firstColumn="0" w:lastColumn="0" w:oddVBand="0" w:evenVBand="0" w:oddHBand="0" w:evenHBand="0" w:firstRowFirstColumn="0" w:firstRowLastColumn="0" w:lastRowFirstColumn="0" w:lastRowLastColumn="0"/>
            </w:pPr>
            <w:r>
              <w:t>5.8%</w:t>
            </w:r>
          </w:p>
        </w:tc>
      </w:tr>
      <w:tr w:rsidR="00487771" w14:paraId="416FB558" w14:textId="77777777" w:rsidTr="00770A8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333" w:type="dxa"/>
          </w:tcPr>
          <w:p w14:paraId="4744346D" w14:textId="40F6704B" w:rsidR="00487771" w:rsidRDefault="00487771" w:rsidP="00924EDA">
            <w:r>
              <w:t>Lebanon</w:t>
            </w:r>
          </w:p>
        </w:tc>
        <w:tc>
          <w:tcPr>
            <w:tcW w:w="2334" w:type="dxa"/>
          </w:tcPr>
          <w:p w14:paraId="1E9C1264" w14:textId="493EC2BD" w:rsidR="00487771" w:rsidRDefault="00487771" w:rsidP="00924EDA">
            <w:pPr>
              <w:cnfStyle w:val="000000100000" w:firstRow="0" w:lastRow="0" w:firstColumn="0" w:lastColumn="0" w:oddVBand="0" w:evenVBand="0" w:oddHBand="1" w:evenHBand="0" w:firstRowFirstColumn="0" w:firstRowLastColumn="0" w:lastRowFirstColumn="0" w:lastRowLastColumn="0"/>
            </w:pPr>
            <w:r w:rsidRPr="00924EDA">
              <w:t>63275649</w:t>
            </w:r>
          </w:p>
        </w:tc>
        <w:tc>
          <w:tcPr>
            <w:tcW w:w="1461" w:type="dxa"/>
          </w:tcPr>
          <w:p w14:paraId="647A432B" w14:textId="71BB6D89" w:rsidR="00487771" w:rsidRDefault="00C02E4D" w:rsidP="00924EDA">
            <w:pPr>
              <w:cnfStyle w:val="000000100000" w:firstRow="0" w:lastRow="0" w:firstColumn="0" w:lastColumn="0" w:oddVBand="0" w:evenVBand="0" w:oddHBand="1" w:evenHBand="0" w:firstRowFirstColumn="0" w:firstRowLastColumn="0" w:lastRowFirstColumn="0" w:lastRowLastColumn="0"/>
            </w:pPr>
            <w:r>
              <w:t>5.8%</w:t>
            </w:r>
          </w:p>
        </w:tc>
      </w:tr>
      <w:tr w:rsidR="00487771" w14:paraId="16EC4BE5" w14:textId="77777777" w:rsidTr="00770A88">
        <w:trPr>
          <w:trHeight w:val="370"/>
        </w:trPr>
        <w:tc>
          <w:tcPr>
            <w:cnfStyle w:val="001000000000" w:firstRow="0" w:lastRow="0" w:firstColumn="1" w:lastColumn="0" w:oddVBand="0" w:evenVBand="0" w:oddHBand="0" w:evenHBand="0" w:firstRowFirstColumn="0" w:firstRowLastColumn="0" w:lastRowFirstColumn="0" w:lastRowLastColumn="0"/>
            <w:tcW w:w="2333" w:type="dxa"/>
          </w:tcPr>
          <w:p w14:paraId="758CB9F2" w14:textId="32E538B4" w:rsidR="00487771" w:rsidRDefault="00487771" w:rsidP="00924EDA">
            <w:r>
              <w:t>United Kingdom</w:t>
            </w:r>
          </w:p>
        </w:tc>
        <w:tc>
          <w:tcPr>
            <w:tcW w:w="2334" w:type="dxa"/>
          </w:tcPr>
          <w:p w14:paraId="32C675F8" w14:textId="1EBD2E3B" w:rsidR="00487771" w:rsidRDefault="00487771" w:rsidP="00924EDA">
            <w:pPr>
              <w:cnfStyle w:val="000000000000" w:firstRow="0" w:lastRow="0" w:firstColumn="0" w:lastColumn="0" w:oddVBand="0" w:evenVBand="0" w:oddHBand="0" w:evenHBand="0" w:firstRowFirstColumn="0" w:firstRowLastColumn="0" w:lastRowFirstColumn="0" w:lastRowLastColumn="0"/>
            </w:pPr>
            <w:r w:rsidRPr="00924EDA">
              <w:t>33270141</w:t>
            </w:r>
          </w:p>
        </w:tc>
        <w:tc>
          <w:tcPr>
            <w:tcW w:w="1461" w:type="dxa"/>
          </w:tcPr>
          <w:p w14:paraId="02A88B15" w14:textId="179B2D01" w:rsidR="00487771" w:rsidRDefault="00C02E4D" w:rsidP="00924EDA">
            <w:pPr>
              <w:cnfStyle w:val="000000000000" w:firstRow="0" w:lastRow="0" w:firstColumn="0" w:lastColumn="0" w:oddVBand="0" w:evenVBand="0" w:oddHBand="0" w:evenHBand="0" w:firstRowFirstColumn="0" w:firstRowLastColumn="0" w:lastRowFirstColumn="0" w:lastRowLastColumn="0"/>
            </w:pPr>
            <w:r>
              <w:t>2.5%</w:t>
            </w:r>
          </w:p>
        </w:tc>
      </w:tr>
      <w:tr w:rsidR="00487771" w14:paraId="0DA30C09" w14:textId="77777777" w:rsidTr="00770A8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333" w:type="dxa"/>
          </w:tcPr>
          <w:p w14:paraId="02284A91" w14:textId="5365D5C0" w:rsidR="00487771" w:rsidRDefault="00487771" w:rsidP="00924EDA">
            <w:r>
              <w:t>Hong Kong</w:t>
            </w:r>
          </w:p>
        </w:tc>
        <w:tc>
          <w:tcPr>
            <w:tcW w:w="2334" w:type="dxa"/>
          </w:tcPr>
          <w:p w14:paraId="5EC153E5" w14:textId="04C606D0" w:rsidR="00487771" w:rsidRDefault="00487771" w:rsidP="00924EDA">
            <w:pPr>
              <w:cnfStyle w:val="000000100000" w:firstRow="0" w:lastRow="0" w:firstColumn="0" w:lastColumn="0" w:oddVBand="0" w:evenVBand="0" w:oddHBand="1" w:evenHBand="0" w:firstRowFirstColumn="0" w:firstRowLastColumn="0" w:lastRowFirstColumn="0" w:lastRowLastColumn="0"/>
            </w:pPr>
            <w:r w:rsidRPr="00924EDA">
              <w:t>32952076</w:t>
            </w:r>
          </w:p>
        </w:tc>
        <w:tc>
          <w:tcPr>
            <w:tcW w:w="1461" w:type="dxa"/>
          </w:tcPr>
          <w:p w14:paraId="39BC7360" w14:textId="41E43EDA" w:rsidR="00487771" w:rsidRDefault="00C02E4D" w:rsidP="00924EDA">
            <w:pPr>
              <w:cnfStyle w:val="000000100000" w:firstRow="0" w:lastRow="0" w:firstColumn="0" w:lastColumn="0" w:oddVBand="0" w:evenVBand="0" w:oddHBand="1" w:evenHBand="0" w:firstRowFirstColumn="0" w:firstRowLastColumn="0" w:lastRowFirstColumn="0" w:lastRowLastColumn="0"/>
            </w:pPr>
            <w:r>
              <w:t>2.5%</w:t>
            </w:r>
          </w:p>
        </w:tc>
      </w:tr>
      <w:tr w:rsidR="00487771" w14:paraId="28F1E369" w14:textId="77777777" w:rsidTr="00770A88">
        <w:trPr>
          <w:trHeight w:val="370"/>
        </w:trPr>
        <w:tc>
          <w:tcPr>
            <w:cnfStyle w:val="001000000000" w:firstRow="0" w:lastRow="0" w:firstColumn="1" w:lastColumn="0" w:oddVBand="0" w:evenVBand="0" w:oddHBand="0" w:evenHBand="0" w:firstRowFirstColumn="0" w:firstRowLastColumn="0" w:lastRowFirstColumn="0" w:lastRowLastColumn="0"/>
            <w:tcW w:w="2333" w:type="dxa"/>
          </w:tcPr>
          <w:p w14:paraId="5CBD5E9A" w14:textId="309DAF11" w:rsidR="00487771" w:rsidRDefault="00487771" w:rsidP="00924EDA">
            <w:r>
              <w:t>Korean Republic</w:t>
            </w:r>
          </w:p>
        </w:tc>
        <w:tc>
          <w:tcPr>
            <w:tcW w:w="2334" w:type="dxa"/>
          </w:tcPr>
          <w:p w14:paraId="67E31608" w14:textId="2C51FB90" w:rsidR="00487771" w:rsidRPr="00924EDA" w:rsidRDefault="00487771" w:rsidP="00924EDA">
            <w:pPr>
              <w:cnfStyle w:val="000000000000" w:firstRow="0" w:lastRow="0" w:firstColumn="0" w:lastColumn="0" w:oddVBand="0" w:evenVBand="0" w:oddHBand="0" w:evenHBand="0" w:firstRowFirstColumn="0" w:firstRowLastColumn="0" w:lastRowFirstColumn="0" w:lastRowLastColumn="0"/>
            </w:pPr>
            <w:r w:rsidRPr="00924EDA">
              <w:t>23888790</w:t>
            </w:r>
          </w:p>
        </w:tc>
        <w:tc>
          <w:tcPr>
            <w:tcW w:w="1461" w:type="dxa"/>
          </w:tcPr>
          <w:p w14:paraId="0DD113D1" w14:textId="3A912090" w:rsidR="00487771" w:rsidRDefault="00C02E4D" w:rsidP="00924EDA">
            <w:pPr>
              <w:cnfStyle w:val="000000000000" w:firstRow="0" w:lastRow="0" w:firstColumn="0" w:lastColumn="0" w:oddVBand="0" w:evenVBand="0" w:oddHBand="0" w:evenHBand="0" w:firstRowFirstColumn="0" w:firstRowLastColumn="0" w:lastRowFirstColumn="0" w:lastRowLastColumn="0"/>
            </w:pPr>
            <w:r>
              <w:t>1.8%</w:t>
            </w:r>
          </w:p>
        </w:tc>
      </w:tr>
      <w:tr w:rsidR="00487771" w14:paraId="60E34C15" w14:textId="77777777" w:rsidTr="00770A8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33" w:type="dxa"/>
          </w:tcPr>
          <w:p w14:paraId="30EECB82" w14:textId="3E26EE88" w:rsidR="00487771" w:rsidRDefault="00C02E4D" w:rsidP="00924EDA">
            <w:r>
              <w:t>Germany</w:t>
            </w:r>
          </w:p>
        </w:tc>
        <w:tc>
          <w:tcPr>
            <w:tcW w:w="2334" w:type="dxa"/>
          </w:tcPr>
          <w:p w14:paraId="54021796" w14:textId="7699BFEE" w:rsidR="00487771" w:rsidRPr="00924EDA" w:rsidRDefault="00C02E4D" w:rsidP="00924EDA">
            <w:pPr>
              <w:cnfStyle w:val="000000100000" w:firstRow="0" w:lastRow="0" w:firstColumn="0" w:lastColumn="0" w:oddVBand="0" w:evenVBand="0" w:oddHBand="1" w:evenHBand="0" w:firstRowFirstColumn="0" w:firstRowLastColumn="0" w:lastRowFirstColumn="0" w:lastRowLastColumn="0"/>
            </w:pPr>
            <w:r w:rsidRPr="00924EDA">
              <w:t>23672158</w:t>
            </w:r>
          </w:p>
        </w:tc>
        <w:tc>
          <w:tcPr>
            <w:tcW w:w="1461" w:type="dxa"/>
          </w:tcPr>
          <w:p w14:paraId="6F4FBBC4" w14:textId="1F2EECCF" w:rsidR="00487771" w:rsidRDefault="00C02E4D" w:rsidP="00924EDA">
            <w:pPr>
              <w:cnfStyle w:val="000000100000" w:firstRow="0" w:lastRow="0" w:firstColumn="0" w:lastColumn="0" w:oddVBand="0" w:evenVBand="0" w:oddHBand="1" w:evenHBand="0" w:firstRowFirstColumn="0" w:firstRowLastColumn="0" w:lastRowFirstColumn="0" w:lastRowLastColumn="0"/>
            </w:pPr>
            <w:r>
              <w:t>1.8%</w:t>
            </w:r>
          </w:p>
        </w:tc>
      </w:tr>
      <w:tr w:rsidR="00487771" w14:paraId="36E1C379" w14:textId="77777777" w:rsidTr="00770A88">
        <w:trPr>
          <w:trHeight w:val="370"/>
        </w:trPr>
        <w:tc>
          <w:tcPr>
            <w:cnfStyle w:val="001000000000" w:firstRow="0" w:lastRow="0" w:firstColumn="1" w:lastColumn="0" w:oddVBand="0" w:evenVBand="0" w:oddHBand="0" w:evenHBand="0" w:firstRowFirstColumn="0" w:firstRowLastColumn="0" w:lastRowFirstColumn="0" w:lastRowLastColumn="0"/>
            <w:tcW w:w="2333" w:type="dxa"/>
          </w:tcPr>
          <w:p w14:paraId="21F9152B" w14:textId="33FAA1EC" w:rsidR="00487771" w:rsidRDefault="00C02E4D" w:rsidP="00924EDA">
            <w:r>
              <w:t>South Africa</w:t>
            </w:r>
          </w:p>
        </w:tc>
        <w:tc>
          <w:tcPr>
            <w:tcW w:w="2334" w:type="dxa"/>
          </w:tcPr>
          <w:p w14:paraId="6BADD12F" w14:textId="31229D92" w:rsidR="00487771" w:rsidRPr="00924EDA" w:rsidRDefault="00C02E4D" w:rsidP="00924EDA">
            <w:pPr>
              <w:cnfStyle w:val="000000000000" w:firstRow="0" w:lastRow="0" w:firstColumn="0" w:lastColumn="0" w:oddVBand="0" w:evenVBand="0" w:oddHBand="0" w:evenHBand="0" w:firstRowFirstColumn="0" w:firstRowLastColumn="0" w:lastRowFirstColumn="0" w:lastRowLastColumn="0"/>
            </w:pPr>
            <w:r w:rsidRPr="00924EDA">
              <w:t>15593207</w:t>
            </w:r>
          </w:p>
        </w:tc>
        <w:tc>
          <w:tcPr>
            <w:tcW w:w="1461" w:type="dxa"/>
          </w:tcPr>
          <w:p w14:paraId="063EEB9E" w14:textId="4ACB9C6B" w:rsidR="00487771" w:rsidRDefault="00C02E4D" w:rsidP="00924EDA">
            <w:pPr>
              <w:cnfStyle w:val="000000000000" w:firstRow="0" w:lastRow="0" w:firstColumn="0" w:lastColumn="0" w:oddVBand="0" w:evenVBand="0" w:oddHBand="0" w:evenHBand="0" w:firstRowFirstColumn="0" w:firstRowLastColumn="0" w:lastRowFirstColumn="0" w:lastRowLastColumn="0"/>
            </w:pPr>
            <w:r>
              <w:t>1.2%</w:t>
            </w:r>
          </w:p>
        </w:tc>
      </w:tr>
    </w:tbl>
    <w:p w14:paraId="5EA8A678" w14:textId="77777777" w:rsidR="00487771" w:rsidRDefault="00487771" w:rsidP="00924EDA"/>
    <w:p w14:paraId="095F9DD2" w14:textId="7BA16F63" w:rsidR="00924EDA" w:rsidRPr="00924EDA" w:rsidRDefault="00C02E4D" w:rsidP="00924EDA">
      <w:r>
        <w:t xml:space="preserve">Mass distribution also reflects China’s dominance, accounting for over </w:t>
      </w:r>
      <w:r>
        <w:rPr>
          <w:rStyle w:val="Strong"/>
        </w:rPr>
        <w:t>51%</w:t>
      </w:r>
      <w:r>
        <w:t xml:space="preserve"> of total import weight. This aligns with FOB value trends and underscores China's centrality in trade volume and logistics dependency.</w:t>
      </w:r>
    </w:p>
    <w:p w14:paraId="79BBAD3C" w14:textId="77777777" w:rsidR="009D681C" w:rsidRDefault="00770A88">
      <w:pPr>
        <w:pStyle w:val="Heading1"/>
      </w:pPr>
      <w:r>
        <w:t>Key Findings &amp; Recommendations</w:t>
      </w:r>
    </w:p>
    <w:p w14:paraId="13D65B16" w14:textId="77777777" w:rsidR="008852F0" w:rsidRPr="008852F0" w:rsidRDefault="00770A88" w:rsidP="008852F0">
      <w:pPr>
        <w:rPr>
          <w:b/>
          <w:bCs/>
        </w:rPr>
      </w:pPr>
      <w:r>
        <w:t>Key Findings:</w:t>
      </w:r>
      <w:r>
        <w:br/>
      </w:r>
      <w:r w:rsidR="008852F0" w:rsidRPr="008852F0">
        <w:rPr>
          <w:b/>
          <w:bCs/>
        </w:rPr>
        <w:t>1. Total Tax Revenue</w:t>
      </w:r>
    </w:p>
    <w:p w14:paraId="217123E7" w14:textId="049060FD" w:rsidR="008852F0" w:rsidRPr="008852F0" w:rsidRDefault="008852F0" w:rsidP="008852F0">
      <w:pPr>
        <w:numPr>
          <w:ilvl w:val="0"/>
          <w:numId w:val="13"/>
        </w:numPr>
      </w:pPr>
      <w:r w:rsidRPr="008852F0">
        <w:t xml:space="preserve">The dataset reflects a </w:t>
      </w:r>
      <w:r w:rsidRPr="008852F0">
        <w:rPr>
          <w:b/>
          <w:bCs/>
        </w:rPr>
        <w:t>total customs tax revenue</w:t>
      </w:r>
      <w:r w:rsidRPr="008852F0">
        <w:t xml:space="preserve"> of approximately </w:t>
      </w:r>
      <w:r>
        <w:rPr>
          <w:b/>
          <w:bCs/>
        </w:rPr>
        <w:t>$</w:t>
      </w:r>
      <w:r w:rsidRPr="008852F0">
        <w:rPr>
          <w:b/>
          <w:bCs/>
        </w:rPr>
        <w:t>251.4 billion</w:t>
      </w:r>
      <w:r w:rsidRPr="008852F0">
        <w:t>.</w:t>
      </w:r>
    </w:p>
    <w:p w14:paraId="0C7B09C9" w14:textId="77777777" w:rsidR="008852F0" w:rsidRPr="008852F0" w:rsidRDefault="008852F0" w:rsidP="008852F0">
      <w:pPr>
        <w:rPr>
          <w:b/>
          <w:bCs/>
        </w:rPr>
      </w:pPr>
      <w:r w:rsidRPr="008852F0">
        <w:rPr>
          <w:b/>
          <w:bCs/>
        </w:rPr>
        <w:t>2. Top Product Categories by Tax Contribution</w:t>
      </w:r>
    </w:p>
    <w:p w14:paraId="673309F8" w14:textId="77777777" w:rsidR="008852F0" w:rsidRPr="008852F0" w:rsidRDefault="008852F0" w:rsidP="008852F0">
      <w:pPr>
        <w:numPr>
          <w:ilvl w:val="0"/>
          <w:numId w:val="14"/>
        </w:numPr>
      </w:pPr>
      <w:r w:rsidRPr="008852F0">
        <w:t xml:space="preserve">The product category </w:t>
      </w:r>
      <w:r w:rsidRPr="008852F0">
        <w:rPr>
          <w:b/>
          <w:bCs/>
        </w:rPr>
        <w:t>"Inorganic chemicals"</w:t>
      </w:r>
      <w:r w:rsidRPr="008852F0">
        <w:t xml:space="preserve"> generated the </w:t>
      </w:r>
      <w:r w:rsidRPr="008852F0">
        <w:rPr>
          <w:b/>
          <w:bCs/>
        </w:rPr>
        <w:t>highest share of total tax revenue</w:t>
      </w:r>
      <w:r w:rsidRPr="008852F0">
        <w:t xml:space="preserve">, contributing approximately </w:t>
      </w:r>
      <w:r w:rsidRPr="008852F0">
        <w:rPr>
          <w:b/>
          <w:bCs/>
        </w:rPr>
        <w:t>17.5%</w:t>
      </w:r>
      <w:r w:rsidRPr="008852F0">
        <w:t xml:space="preserve"> of the entire customs tax.</w:t>
      </w:r>
    </w:p>
    <w:p w14:paraId="2C125C27" w14:textId="6E5DE054" w:rsidR="008852F0" w:rsidRDefault="008852F0" w:rsidP="008852F0">
      <w:pPr>
        <w:numPr>
          <w:ilvl w:val="0"/>
          <w:numId w:val="14"/>
        </w:numPr>
      </w:pPr>
      <w:r w:rsidRPr="008852F0">
        <w:t xml:space="preserve">The </w:t>
      </w:r>
      <w:r w:rsidRPr="008852F0">
        <w:rPr>
          <w:b/>
          <w:bCs/>
        </w:rPr>
        <w:t>Top 5 highest tax-contributing categories</w:t>
      </w:r>
      <w:r w:rsidRPr="008852F0">
        <w:t xml:space="preserve"> are:</w:t>
      </w:r>
    </w:p>
    <w:tbl>
      <w:tblPr>
        <w:tblStyle w:val="GridTable5Dark-Accent1"/>
        <w:tblW w:w="0" w:type="auto"/>
        <w:tblLook w:val="04A0" w:firstRow="1" w:lastRow="0" w:firstColumn="1" w:lastColumn="0" w:noHBand="0" w:noVBand="1"/>
      </w:tblPr>
      <w:tblGrid>
        <w:gridCol w:w="4257"/>
        <w:gridCol w:w="2397"/>
      </w:tblGrid>
      <w:tr w:rsidR="00C02E4D" w14:paraId="52D91CBA" w14:textId="77777777" w:rsidTr="00BF0E8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57" w:type="dxa"/>
          </w:tcPr>
          <w:p w14:paraId="1AEEE748" w14:textId="0F0070A8" w:rsidR="00C02E4D" w:rsidRDefault="00C02E4D" w:rsidP="00C02E4D">
            <w:r>
              <w:t>HS Category</w:t>
            </w:r>
          </w:p>
        </w:tc>
        <w:tc>
          <w:tcPr>
            <w:tcW w:w="2397" w:type="dxa"/>
          </w:tcPr>
          <w:p w14:paraId="5A2B86A4" w14:textId="14F62FA3" w:rsidR="00C02E4D" w:rsidRDefault="00C02E4D" w:rsidP="00C02E4D">
            <w:pPr>
              <w:cnfStyle w:val="100000000000" w:firstRow="1" w:lastRow="0" w:firstColumn="0" w:lastColumn="0" w:oddVBand="0" w:evenVBand="0" w:oddHBand="0" w:evenHBand="0" w:firstRowFirstColumn="0" w:firstRowLastColumn="0" w:lastRowFirstColumn="0" w:lastRowLastColumn="0"/>
            </w:pPr>
            <w:r>
              <w:t>% Total Tax Revenu</w:t>
            </w:r>
            <w:r w:rsidR="00BF0E8B">
              <w:t>e</w:t>
            </w:r>
          </w:p>
        </w:tc>
      </w:tr>
      <w:tr w:rsidR="00C02E4D" w14:paraId="5FE20D42" w14:textId="77777777" w:rsidTr="00BF0E8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57" w:type="dxa"/>
          </w:tcPr>
          <w:p w14:paraId="6E2FF751" w14:textId="2349EA8F" w:rsidR="00C02E4D" w:rsidRDefault="00BF0E8B" w:rsidP="00C02E4D">
            <w:r w:rsidRPr="008852F0">
              <w:t>Inorganic chemicals</w:t>
            </w:r>
          </w:p>
        </w:tc>
        <w:tc>
          <w:tcPr>
            <w:tcW w:w="2397" w:type="dxa"/>
          </w:tcPr>
          <w:p w14:paraId="412FBFE8" w14:textId="6BF4E925" w:rsidR="00C02E4D" w:rsidRDefault="00BF0E8B" w:rsidP="00C02E4D">
            <w:pPr>
              <w:cnfStyle w:val="000000100000" w:firstRow="0" w:lastRow="0" w:firstColumn="0" w:lastColumn="0" w:oddVBand="0" w:evenVBand="0" w:oddHBand="1" w:evenHBand="0" w:firstRowFirstColumn="0" w:firstRowLastColumn="0" w:lastRowFirstColumn="0" w:lastRowLastColumn="0"/>
            </w:pPr>
            <w:r w:rsidRPr="008852F0">
              <w:t>17.5%</w:t>
            </w:r>
          </w:p>
        </w:tc>
      </w:tr>
      <w:tr w:rsidR="00C02E4D" w14:paraId="3D4F3A21" w14:textId="77777777" w:rsidTr="00BF0E8B">
        <w:trPr>
          <w:trHeight w:val="264"/>
        </w:trPr>
        <w:tc>
          <w:tcPr>
            <w:cnfStyle w:val="001000000000" w:firstRow="0" w:lastRow="0" w:firstColumn="1" w:lastColumn="0" w:oddVBand="0" w:evenVBand="0" w:oddHBand="0" w:evenHBand="0" w:firstRowFirstColumn="0" w:firstRowLastColumn="0" w:lastRowFirstColumn="0" w:lastRowLastColumn="0"/>
            <w:tcW w:w="4257" w:type="dxa"/>
          </w:tcPr>
          <w:p w14:paraId="7E237EFB" w14:textId="265B76F1" w:rsidR="00C02E4D" w:rsidRDefault="00BF0E8B" w:rsidP="00C02E4D">
            <w:r w:rsidRPr="008852F0">
              <w:t>Wood and articles of wood</w:t>
            </w:r>
          </w:p>
        </w:tc>
        <w:tc>
          <w:tcPr>
            <w:tcW w:w="2397" w:type="dxa"/>
          </w:tcPr>
          <w:p w14:paraId="32CB5381" w14:textId="20DCF8A3" w:rsidR="00C02E4D" w:rsidRDefault="00BF0E8B" w:rsidP="00C02E4D">
            <w:pPr>
              <w:cnfStyle w:val="000000000000" w:firstRow="0" w:lastRow="0" w:firstColumn="0" w:lastColumn="0" w:oddVBand="0" w:evenVBand="0" w:oddHBand="0" w:evenHBand="0" w:firstRowFirstColumn="0" w:firstRowLastColumn="0" w:lastRowFirstColumn="0" w:lastRowLastColumn="0"/>
            </w:pPr>
            <w:r w:rsidRPr="008852F0">
              <w:t>12.0%</w:t>
            </w:r>
          </w:p>
        </w:tc>
      </w:tr>
      <w:tr w:rsidR="00C02E4D" w14:paraId="59573D7F" w14:textId="77777777" w:rsidTr="00BF0E8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57" w:type="dxa"/>
          </w:tcPr>
          <w:p w14:paraId="2375DBA8" w14:textId="12EAD1AE" w:rsidR="00C02E4D" w:rsidRDefault="00BF0E8B" w:rsidP="00C02E4D">
            <w:r w:rsidRPr="008852F0">
              <w:t>Sugars and sugar confectionery</w:t>
            </w:r>
          </w:p>
        </w:tc>
        <w:tc>
          <w:tcPr>
            <w:tcW w:w="2397" w:type="dxa"/>
          </w:tcPr>
          <w:p w14:paraId="7B78836F" w14:textId="765A1E8A" w:rsidR="00C02E4D" w:rsidRDefault="00BF0E8B" w:rsidP="00C02E4D">
            <w:pPr>
              <w:cnfStyle w:val="000000100000" w:firstRow="0" w:lastRow="0" w:firstColumn="0" w:lastColumn="0" w:oddVBand="0" w:evenVBand="0" w:oddHBand="1" w:evenHBand="0" w:firstRowFirstColumn="0" w:firstRowLastColumn="0" w:lastRowFirstColumn="0" w:lastRowLastColumn="0"/>
            </w:pPr>
            <w:r w:rsidRPr="008852F0">
              <w:t>10.8%</w:t>
            </w:r>
          </w:p>
        </w:tc>
      </w:tr>
      <w:tr w:rsidR="00C02E4D" w14:paraId="26E46DFD" w14:textId="77777777" w:rsidTr="00BF0E8B">
        <w:trPr>
          <w:trHeight w:val="264"/>
        </w:trPr>
        <w:tc>
          <w:tcPr>
            <w:cnfStyle w:val="001000000000" w:firstRow="0" w:lastRow="0" w:firstColumn="1" w:lastColumn="0" w:oddVBand="0" w:evenVBand="0" w:oddHBand="0" w:evenHBand="0" w:firstRowFirstColumn="0" w:firstRowLastColumn="0" w:lastRowFirstColumn="0" w:lastRowLastColumn="0"/>
            <w:tcW w:w="4257" w:type="dxa"/>
          </w:tcPr>
          <w:p w14:paraId="02DF1ADD" w14:textId="4CE6D509" w:rsidR="00C02E4D" w:rsidRDefault="00BF0E8B" w:rsidP="00C02E4D">
            <w:r w:rsidRPr="008852F0">
              <w:t>Miscellaneous edible preparations</w:t>
            </w:r>
          </w:p>
        </w:tc>
        <w:tc>
          <w:tcPr>
            <w:tcW w:w="2397" w:type="dxa"/>
          </w:tcPr>
          <w:p w14:paraId="44164F13" w14:textId="22E6079F" w:rsidR="00C02E4D" w:rsidRDefault="00BF0E8B" w:rsidP="00C02E4D">
            <w:pPr>
              <w:cnfStyle w:val="000000000000" w:firstRow="0" w:lastRow="0" w:firstColumn="0" w:lastColumn="0" w:oddVBand="0" w:evenVBand="0" w:oddHBand="0" w:evenHBand="0" w:firstRowFirstColumn="0" w:firstRowLastColumn="0" w:lastRowFirstColumn="0" w:lastRowLastColumn="0"/>
            </w:pPr>
            <w:r w:rsidRPr="008852F0">
              <w:t>10.1%</w:t>
            </w:r>
          </w:p>
        </w:tc>
      </w:tr>
      <w:tr w:rsidR="00C02E4D" w14:paraId="74F51B0C" w14:textId="77777777" w:rsidTr="00BF0E8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57" w:type="dxa"/>
          </w:tcPr>
          <w:p w14:paraId="245C4479" w14:textId="29B5A37B" w:rsidR="00C02E4D" w:rsidRDefault="00BF0E8B" w:rsidP="00C02E4D">
            <w:r w:rsidRPr="008852F0">
              <w:t>Iron and steel</w:t>
            </w:r>
          </w:p>
        </w:tc>
        <w:tc>
          <w:tcPr>
            <w:tcW w:w="2397" w:type="dxa"/>
          </w:tcPr>
          <w:p w14:paraId="02BBAD54" w14:textId="44024D0D" w:rsidR="00C02E4D" w:rsidRDefault="00BF0E8B" w:rsidP="00C02E4D">
            <w:pPr>
              <w:cnfStyle w:val="000000100000" w:firstRow="0" w:lastRow="0" w:firstColumn="0" w:lastColumn="0" w:oddVBand="0" w:evenVBand="0" w:oddHBand="1" w:evenHBand="0" w:firstRowFirstColumn="0" w:firstRowLastColumn="0" w:lastRowFirstColumn="0" w:lastRowLastColumn="0"/>
            </w:pPr>
            <w:r w:rsidRPr="008852F0">
              <w:t>6.7%</w:t>
            </w:r>
          </w:p>
        </w:tc>
      </w:tr>
    </w:tbl>
    <w:p w14:paraId="2273E7F6" w14:textId="77777777" w:rsidR="00C02E4D" w:rsidRPr="008852F0" w:rsidRDefault="00C02E4D" w:rsidP="00C02E4D"/>
    <w:p w14:paraId="2D6A4046" w14:textId="77777777" w:rsidR="008852F0" w:rsidRPr="008852F0" w:rsidRDefault="008852F0" w:rsidP="008852F0">
      <w:pPr>
        <w:rPr>
          <w:b/>
          <w:bCs/>
        </w:rPr>
      </w:pPr>
      <w:r w:rsidRPr="008852F0">
        <w:rPr>
          <w:b/>
          <w:bCs/>
        </w:rPr>
        <w:t>3. Under-Taxed Categories</w:t>
      </w:r>
    </w:p>
    <w:p w14:paraId="6030800A" w14:textId="6D83D886" w:rsidR="008852F0" w:rsidRDefault="008852F0" w:rsidP="008852F0">
      <w:pPr>
        <w:numPr>
          <w:ilvl w:val="0"/>
          <w:numId w:val="15"/>
        </w:numPr>
      </w:pPr>
      <w:r w:rsidRPr="008852F0">
        <w:t xml:space="preserve">Several categories show significantly </w:t>
      </w:r>
      <w:r w:rsidRPr="008852F0">
        <w:rPr>
          <w:b/>
          <w:bCs/>
        </w:rPr>
        <w:t>low tax-to-CIF value ratios</w:t>
      </w:r>
      <w:r w:rsidRPr="008852F0">
        <w:t>, suggesting potential under-taxation:</w:t>
      </w:r>
    </w:p>
    <w:tbl>
      <w:tblPr>
        <w:tblStyle w:val="GridTable5Dark-Accent1"/>
        <w:tblW w:w="0" w:type="auto"/>
        <w:tblLook w:val="04A0" w:firstRow="1" w:lastRow="0" w:firstColumn="1" w:lastColumn="0" w:noHBand="0" w:noVBand="1"/>
      </w:tblPr>
      <w:tblGrid>
        <w:gridCol w:w="2157"/>
        <w:gridCol w:w="2157"/>
        <w:gridCol w:w="2158"/>
        <w:gridCol w:w="2158"/>
      </w:tblGrid>
      <w:tr w:rsidR="00BF0E8B" w14:paraId="3747CDAE" w14:textId="77777777" w:rsidTr="00BF0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763B50B" w14:textId="49EF3CEC" w:rsidR="00BF0E8B" w:rsidRDefault="00BF0E8B" w:rsidP="00BF0E8B">
            <w:r w:rsidRPr="008852F0">
              <w:t>HS Category</w:t>
            </w:r>
          </w:p>
        </w:tc>
        <w:tc>
          <w:tcPr>
            <w:tcW w:w="2157" w:type="dxa"/>
          </w:tcPr>
          <w:p w14:paraId="77256399" w14:textId="4C6FC526" w:rsidR="00BF0E8B" w:rsidRDefault="00BF0E8B" w:rsidP="00BF0E8B">
            <w:pPr>
              <w:cnfStyle w:val="100000000000" w:firstRow="1" w:lastRow="0" w:firstColumn="0" w:lastColumn="0" w:oddVBand="0" w:evenVBand="0" w:oddHBand="0" w:evenHBand="0" w:firstRowFirstColumn="0" w:firstRowLastColumn="0" w:lastRowFirstColumn="0" w:lastRowLastColumn="0"/>
            </w:pPr>
            <w:r w:rsidRPr="008852F0">
              <w:t>Avg CIF Value (</w:t>
            </w:r>
            <w:r>
              <w:t>$</w:t>
            </w:r>
            <w:r w:rsidRPr="008852F0">
              <w:t>)</w:t>
            </w:r>
          </w:p>
        </w:tc>
        <w:tc>
          <w:tcPr>
            <w:tcW w:w="2158" w:type="dxa"/>
          </w:tcPr>
          <w:p w14:paraId="706AE767" w14:textId="4EA5C4BC" w:rsidR="00BF0E8B" w:rsidRDefault="00BF0E8B" w:rsidP="00BF0E8B">
            <w:pPr>
              <w:cnfStyle w:val="100000000000" w:firstRow="1" w:lastRow="0" w:firstColumn="0" w:lastColumn="0" w:oddVBand="0" w:evenVBand="0" w:oddHBand="0" w:evenHBand="0" w:firstRowFirstColumn="0" w:firstRowLastColumn="0" w:lastRowFirstColumn="0" w:lastRowLastColumn="0"/>
            </w:pPr>
            <w:r w:rsidRPr="008852F0">
              <w:t>Avg Tax (</w:t>
            </w:r>
            <w:r>
              <w:t>$)</w:t>
            </w:r>
          </w:p>
        </w:tc>
        <w:tc>
          <w:tcPr>
            <w:tcW w:w="2158" w:type="dxa"/>
          </w:tcPr>
          <w:p w14:paraId="503C6050" w14:textId="4A25254A" w:rsidR="00BF0E8B" w:rsidRDefault="00BF0E8B" w:rsidP="00BF0E8B">
            <w:pPr>
              <w:cnfStyle w:val="100000000000" w:firstRow="1" w:lastRow="0" w:firstColumn="0" w:lastColumn="0" w:oddVBand="0" w:evenVBand="0" w:oddHBand="0" w:evenHBand="0" w:firstRowFirstColumn="0" w:firstRowLastColumn="0" w:lastRowFirstColumn="0" w:lastRowLastColumn="0"/>
            </w:pPr>
            <w:r w:rsidRPr="008852F0">
              <w:t>Tax/CIF Ratio</w:t>
            </w:r>
          </w:p>
        </w:tc>
      </w:tr>
      <w:tr w:rsidR="00BF0E8B" w14:paraId="2683607F" w14:textId="77777777" w:rsidTr="00B7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58AA6646" w14:textId="57AEADBE" w:rsidR="00BF0E8B" w:rsidRDefault="00BF0E8B" w:rsidP="00BF0E8B">
            <w:r w:rsidRPr="008852F0">
              <w:t>Raw hides and skins</w:t>
            </w:r>
          </w:p>
        </w:tc>
        <w:tc>
          <w:tcPr>
            <w:tcW w:w="2157" w:type="dxa"/>
            <w:vAlign w:val="center"/>
          </w:tcPr>
          <w:p w14:paraId="1C227202" w14:textId="634C4377" w:rsidR="00BF0E8B" w:rsidRDefault="00BF0E8B" w:rsidP="00BF0E8B">
            <w:pPr>
              <w:cnfStyle w:val="000000100000" w:firstRow="0" w:lastRow="0" w:firstColumn="0" w:lastColumn="0" w:oddVBand="0" w:evenVBand="0" w:oddHBand="1" w:evenHBand="0" w:firstRowFirstColumn="0" w:firstRowLastColumn="0" w:lastRowFirstColumn="0" w:lastRowLastColumn="0"/>
            </w:pPr>
            <w:r>
              <w:t>$</w:t>
            </w:r>
            <w:r w:rsidRPr="008852F0">
              <w:t>22.4 million</w:t>
            </w:r>
          </w:p>
        </w:tc>
        <w:tc>
          <w:tcPr>
            <w:tcW w:w="2158" w:type="dxa"/>
            <w:vAlign w:val="center"/>
          </w:tcPr>
          <w:p w14:paraId="707C83C0" w14:textId="7FC50637" w:rsidR="00BF0E8B" w:rsidRDefault="00BF0E8B" w:rsidP="00BF0E8B">
            <w:pPr>
              <w:cnfStyle w:val="000000100000" w:firstRow="0" w:lastRow="0" w:firstColumn="0" w:lastColumn="0" w:oddVBand="0" w:evenVBand="0" w:oddHBand="1" w:evenHBand="0" w:firstRowFirstColumn="0" w:firstRowLastColumn="0" w:lastRowFirstColumn="0" w:lastRowLastColumn="0"/>
            </w:pPr>
            <w:r>
              <w:t>$</w:t>
            </w:r>
            <w:r w:rsidRPr="008852F0">
              <w:t>442,322</w:t>
            </w:r>
          </w:p>
        </w:tc>
        <w:tc>
          <w:tcPr>
            <w:tcW w:w="2158" w:type="dxa"/>
            <w:vAlign w:val="center"/>
          </w:tcPr>
          <w:p w14:paraId="73D75276" w14:textId="448C71F4"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4.0%</w:t>
            </w:r>
          </w:p>
        </w:tc>
      </w:tr>
      <w:tr w:rsidR="00BF0E8B" w14:paraId="31D360BA" w14:textId="77777777" w:rsidTr="00B71B4C">
        <w:tc>
          <w:tcPr>
            <w:cnfStyle w:val="001000000000" w:firstRow="0" w:lastRow="0" w:firstColumn="1" w:lastColumn="0" w:oddVBand="0" w:evenVBand="0" w:oddHBand="0" w:evenHBand="0" w:firstRowFirstColumn="0" w:firstRowLastColumn="0" w:lastRowFirstColumn="0" w:lastRowLastColumn="0"/>
            <w:tcW w:w="2157" w:type="dxa"/>
            <w:vAlign w:val="center"/>
          </w:tcPr>
          <w:p w14:paraId="1919A3B5" w14:textId="5AFC6EC9" w:rsidR="00BF0E8B" w:rsidRDefault="00BF0E8B" w:rsidP="00BF0E8B">
            <w:r w:rsidRPr="008852F0">
              <w:t>Tobacco</w:t>
            </w:r>
          </w:p>
        </w:tc>
        <w:tc>
          <w:tcPr>
            <w:tcW w:w="2157" w:type="dxa"/>
            <w:vAlign w:val="center"/>
          </w:tcPr>
          <w:p w14:paraId="07AA19BE" w14:textId="21330A5C" w:rsidR="00BF0E8B" w:rsidRDefault="00BF0E8B" w:rsidP="00BF0E8B">
            <w:pPr>
              <w:cnfStyle w:val="000000000000" w:firstRow="0" w:lastRow="0" w:firstColumn="0" w:lastColumn="0" w:oddVBand="0" w:evenVBand="0" w:oddHBand="0" w:evenHBand="0" w:firstRowFirstColumn="0" w:firstRowLastColumn="0" w:lastRowFirstColumn="0" w:lastRowLastColumn="0"/>
            </w:pPr>
            <w:r>
              <w:t>$</w:t>
            </w:r>
            <w:r w:rsidRPr="008852F0">
              <w:t>6.2 million</w:t>
            </w:r>
          </w:p>
        </w:tc>
        <w:tc>
          <w:tcPr>
            <w:tcW w:w="2158" w:type="dxa"/>
            <w:vAlign w:val="center"/>
          </w:tcPr>
          <w:p w14:paraId="23AA5056" w14:textId="3E213022" w:rsidR="00BF0E8B" w:rsidRDefault="00BF0E8B" w:rsidP="00BF0E8B">
            <w:pPr>
              <w:cnfStyle w:val="000000000000" w:firstRow="0" w:lastRow="0" w:firstColumn="0" w:lastColumn="0" w:oddVBand="0" w:evenVBand="0" w:oddHBand="0" w:evenHBand="0" w:firstRowFirstColumn="0" w:firstRowLastColumn="0" w:lastRowFirstColumn="0" w:lastRowLastColumn="0"/>
            </w:pPr>
            <w:r>
              <w:t>$</w:t>
            </w:r>
            <w:r w:rsidRPr="008852F0">
              <w:t>419,918</w:t>
            </w:r>
          </w:p>
        </w:tc>
        <w:tc>
          <w:tcPr>
            <w:tcW w:w="2158" w:type="dxa"/>
            <w:vAlign w:val="center"/>
          </w:tcPr>
          <w:p w14:paraId="57D8C390" w14:textId="1A40517C"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6.8%</w:t>
            </w:r>
          </w:p>
        </w:tc>
      </w:tr>
      <w:tr w:rsidR="00BF0E8B" w14:paraId="1F3DCBC2" w14:textId="77777777" w:rsidTr="00B7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15328B40" w14:textId="3082C050" w:rsidR="00BF0E8B" w:rsidRDefault="00BF0E8B" w:rsidP="00BF0E8B">
            <w:r w:rsidRPr="008852F0">
              <w:t>Printed books</w:t>
            </w:r>
          </w:p>
        </w:tc>
        <w:tc>
          <w:tcPr>
            <w:tcW w:w="2157" w:type="dxa"/>
            <w:vAlign w:val="center"/>
          </w:tcPr>
          <w:p w14:paraId="4F14DB42" w14:textId="231894BB" w:rsidR="00BF0E8B" w:rsidRDefault="00BF0E8B" w:rsidP="00BF0E8B">
            <w:pPr>
              <w:cnfStyle w:val="000000100000" w:firstRow="0" w:lastRow="0" w:firstColumn="0" w:lastColumn="0" w:oddVBand="0" w:evenVBand="0" w:oddHBand="1" w:evenHBand="0" w:firstRowFirstColumn="0" w:firstRowLastColumn="0" w:lastRowFirstColumn="0" w:lastRowLastColumn="0"/>
            </w:pPr>
            <w:r>
              <w:t>$</w:t>
            </w:r>
            <w:r w:rsidRPr="008852F0">
              <w:t>15.4 million</w:t>
            </w:r>
          </w:p>
        </w:tc>
        <w:tc>
          <w:tcPr>
            <w:tcW w:w="2158" w:type="dxa"/>
            <w:vAlign w:val="center"/>
          </w:tcPr>
          <w:p w14:paraId="6E2C57FA" w14:textId="010E9158" w:rsidR="00BF0E8B" w:rsidRDefault="00BF0E8B" w:rsidP="00BF0E8B">
            <w:pPr>
              <w:cnfStyle w:val="000000100000" w:firstRow="0" w:lastRow="0" w:firstColumn="0" w:lastColumn="0" w:oddVBand="0" w:evenVBand="0" w:oddHBand="1" w:evenHBand="0" w:firstRowFirstColumn="0" w:firstRowLastColumn="0" w:lastRowFirstColumn="0" w:lastRowLastColumn="0"/>
            </w:pPr>
            <w:r>
              <w:t>$</w:t>
            </w:r>
            <w:r w:rsidRPr="008852F0">
              <w:t>993,925</w:t>
            </w:r>
          </w:p>
        </w:tc>
        <w:tc>
          <w:tcPr>
            <w:tcW w:w="2158" w:type="dxa"/>
            <w:vAlign w:val="center"/>
          </w:tcPr>
          <w:p w14:paraId="36380C54" w14:textId="26EA946B"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7.3%</w:t>
            </w:r>
          </w:p>
        </w:tc>
      </w:tr>
      <w:tr w:rsidR="00BF0E8B" w14:paraId="694CE1FF" w14:textId="77777777" w:rsidTr="00B71B4C">
        <w:tc>
          <w:tcPr>
            <w:cnfStyle w:val="001000000000" w:firstRow="0" w:lastRow="0" w:firstColumn="1" w:lastColumn="0" w:oddVBand="0" w:evenVBand="0" w:oddHBand="0" w:evenHBand="0" w:firstRowFirstColumn="0" w:firstRowLastColumn="0" w:lastRowFirstColumn="0" w:lastRowLastColumn="0"/>
            <w:tcW w:w="2157" w:type="dxa"/>
            <w:vAlign w:val="center"/>
          </w:tcPr>
          <w:p w14:paraId="20BE91C4" w14:textId="104C903C" w:rsidR="00BF0E8B" w:rsidRDefault="00BF0E8B" w:rsidP="00BF0E8B">
            <w:r w:rsidRPr="008852F0">
              <w:t>Animal or vegetable fats</w:t>
            </w:r>
          </w:p>
        </w:tc>
        <w:tc>
          <w:tcPr>
            <w:tcW w:w="2157" w:type="dxa"/>
            <w:vAlign w:val="center"/>
          </w:tcPr>
          <w:p w14:paraId="49EAE033" w14:textId="64461816" w:rsidR="00BF0E8B" w:rsidRDefault="00BF0E8B" w:rsidP="00BF0E8B">
            <w:pPr>
              <w:cnfStyle w:val="000000000000" w:firstRow="0" w:lastRow="0" w:firstColumn="0" w:lastColumn="0" w:oddVBand="0" w:evenVBand="0" w:oddHBand="0" w:evenHBand="0" w:firstRowFirstColumn="0" w:firstRowLastColumn="0" w:lastRowFirstColumn="0" w:lastRowLastColumn="0"/>
            </w:pPr>
            <w:r>
              <w:t>$</w:t>
            </w:r>
            <w:r w:rsidRPr="008852F0">
              <w:t>8.9 million</w:t>
            </w:r>
          </w:p>
        </w:tc>
        <w:tc>
          <w:tcPr>
            <w:tcW w:w="2158" w:type="dxa"/>
            <w:vAlign w:val="center"/>
          </w:tcPr>
          <w:p w14:paraId="52A7CFC1" w14:textId="7016F4B8" w:rsidR="00BF0E8B" w:rsidRDefault="00BF0E8B" w:rsidP="00BF0E8B">
            <w:pPr>
              <w:cnfStyle w:val="000000000000" w:firstRow="0" w:lastRow="0" w:firstColumn="0" w:lastColumn="0" w:oddVBand="0" w:evenVBand="0" w:oddHBand="0" w:evenHBand="0" w:firstRowFirstColumn="0" w:firstRowLastColumn="0" w:lastRowFirstColumn="0" w:lastRowLastColumn="0"/>
            </w:pPr>
            <w:r>
              <w:t>$</w:t>
            </w:r>
            <w:r w:rsidRPr="008852F0">
              <w:t>690,661</w:t>
            </w:r>
          </w:p>
        </w:tc>
        <w:tc>
          <w:tcPr>
            <w:tcW w:w="2158" w:type="dxa"/>
            <w:vAlign w:val="center"/>
          </w:tcPr>
          <w:p w14:paraId="0ADA070B" w14:textId="3BB72E94"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7.9%</w:t>
            </w:r>
          </w:p>
        </w:tc>
      </w:tr>
      <w:tr w:rsidR="00BF0E8B" w14:paraId="7F63B51C" w14:textId="77777777" w:rsidTr="00B7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4586EBE6" w14:textId="7D82C7CB" w:rsidR="00BF0E8B" w:rsidRDefault="00BF0E8B" w:rsidP="00BF0E8B">
            <w:r w:rsidRPr="008852F0">
              <w:t>Cork and articles of cork</w:t>
            </w:r>
          </w:p>
        </w:tc>
        <w:tc>
          <w:tcPr>
            <w:tcW w:w="2157" w:type="dxa"/>
            <w:vAlign w:val="center"/>
          </w:tcPr>
          <w:p w14:paraId="64149E7C" w14:textId="1D37A365" w:rsidR="00BF0E8B" w:rsidRDefault="00BF0E8B" w:rsidP="00BF0E8B">
            <w:pPr>
              <w:cnfStyle w:val="000000100000" w:firstRow="0" w:lastRow="0" w:firstColumn="0" w:lastColumn="0" w:oddVBand="0" w:evenVBand="0" w:oddHBand="1" w:evenHBand="0" w:firstRowFirstColumn="0" w:firstRowLastColumn="0" w:lastRowFirstColumn="0" w:lastRowLastColumn="0"/>
            </w:pPr>
            <w:r>
              <w:t>$</w:t>
            </w:r>
            <w:r w:rsidRPr="008852F0">
              <w:t>20.7 million</w:t>
            </w:r>
          </w:p>
        </w:tc>
        <w:tc>
          <w:tcPr>
            <w:tcW w:w="2158" w:type="dxa"/>
            <w:vAlign w:val="center"/>
          </w:tcPr>
          <w:p w14:paraId="0610E347" w14:textId="7A841BDA" w:rsidR="00BF0E8B" w:rsidRDefault="00BF0E8B" w:rsidP="00BF0E8B">
            <w:pPr>
              <w:cnfStyle w:val="000000100000" w:firstRow="0" w:lastRow="0" w:firstColumn="0" w:lastColumn="0" w:oddVBand="0" w:evenVBand="0" w:oddHBand="1" w:evenHBand="0" w:firstRowFirstColumn="0" w:firstRowLastColumn="0" w:lastRowFirstColumn="0" w:lastRowLastColumn="0"/>
            </w:pPr>
            <w:r>
              <w:t>$</w:t>
            </w:r>
            <w:r w:rsidRPr="008852F0">
              <w:t>1.6 million</w:t>
            </w:r>
          </w:p>
        </w:tc>
        <w:tc>
          <w:tcPr>
            <w:tcW w:w="2158" w:type="dxa"/>
            <w:vAlign w:val="center"/>
          </w:tcPr>
          <w:p w14:paraId="50EBC14E" w14:textId="392D62F2"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9.3%</w:t>
            </w:r>
          </w:p>
        </w:tc>
      </w:tr>
    </w:tbl>
    <w:p w14:paraId="761682D7" w14:textId="77777777" w:rsidR="00BF0E8B" w:rsidRPr="008852F0" w:rsidRDefault="00BF0E8B" w:rsidP="00BF0E8B"/>
    <w:p w14:paraId="1748DEC3" w14:textId="77777777" w:rsidR="008852F0" w:rsidRPr="008852F0" w:rsidRDefault="008852F0" w:rsidP="008852F0">
      <w:pPr>
        <w:numPr>
          <w:ilvl w:val="0"/>
          <w:numId w:val="15"/>
        </w:numPr>
      </w:pPr>
      <w:r w:rsidRPr="008852F0">
        <w:t xml:space="preserve">These sectors may be </w:t>
      </w:r>
      <w:r w:rsidRPr="008852F0">
        <w:rPr>
          <w:b/>
          <w:bCs/>
        </w:rPr>
        <w:t>subject to policy leniency</w:t>
      </w:r>
      <w:r w:rsidRPr="008852F0">
        <w:t xml:space="preserve">, </w:t>
      </w:r>
      <w:r w:rsidRPr="008852F0">
        <w:rPr>
          <w:b/>
          <w:bCs/>
        </w:rPr>
        <w:t>misclassification</w:t>
      </w:r>
      <w:r w:rsidRPr="008852F0">
        <w:t xml:space="preserve">, or </w:t>
      </w:r>
      <w:r w:rsidRPr="008852F0">
        <w:rPr>
          <w:b/>
          <w:bCs/>
        </w:rPr>
        <w:t>tax evasion risks</w:t>
      </w:r>
      <w:r w:rsidRPr="008852F0">
        <w:t>.</w:t>
      </w:r>
    </w:p>
    <w:p w14:paraId="6196A798" w14:textId="77777777" w:rsidR="008852F0" w:rsidRPr="008852F0" w:rsidRDefault="008852F0" w:rsidP="008852F0">
      <w:pPr>
        <w:rPr>
          <w:b/>
          <w:bCs/>
        </w:rPr>
      </w:pPr>
      <w:r w:rsidRPr="008852F0">
        <w:rPr>
          <w:b/>
          <w:bCs/>
        </w:rPr>
        <w:t>4. High-Risk Importing Countries (Low Avg. Tax Rate)</w:t>
      </w:r>
    </w:p>
    <w:p w14:paraId="6BA85A5E" w14:textId="77777777" w:rsidR="008852F0" w:rsidRPr="008852F0" w:rsidRDefault="008852F0" w:rsidP="008852F0">
      <w:pPr>
        <w:numPr>
          <w:ilvl w:val="0"/>
          <w:numId w:val="16"/>
        </w:numPr>
      </w:pPr>
      <w:r w:rsidRPr="008852F0">
        <w:lastRenderedPageBreak/>
        <w:t xml:space="preserve">Some countries are importing large CIF values but generating </w:t>
      </w:r>
      <w:r w:rsidRPr="008852F0">
        <w:rPr>
          <w:b/>
          <w:bCs/>
        </w:rPr>
        <w:t>exceptionally low average tax rates</w:t>
      </w:r>
      <w:r w:rsidRPr="008852F0">
        <w:t>, potentially indicating:</w:t>
      </w:r>
    </w:p>
    <w:p w14:paraId="349FB46C" w14:textId="77777777" w:rsidR="008852F0" w:rsidRPr="008852F0" w:rsidRDefault="008852F0" w:rsidP="008852F0">
      <w:pPr>
        <w:numPr>
          <w:ilvl w:val="1"/>
          <w:numId w:val="16"/>
        </w:numPr>
      </w:pPr>
      <w:proofErr w:type="spellStart"/>
      <w:r w:rsidRPr="008852F0">
        <w:t>Favourable</w:t>
      </w:r>
      <w:proofErr w:type="spellEnd"/>
      <w:r w:rsidRPr="008852F0">
        <w:t xml:space="preserve"> trade treaties</w:t>
      </w:r>
    </w:p>
    <w:p w14:paraId="6DD958D7" w14:textId="77777777" w:rsidR="008852F0" w:rsidRPr="008852F0" w:rsidRDefault="008852F0" w:rsidP="008852F0">
      <w:pPr>
        <w:numPr>
          <w:ilvl w:val="1"/>
          <w:numId w:val="16"/>
        </w:numPr>
      </w:pPr>
      <w:r w:rsidRPr="008852F0">
        <w:t>Possible misreporting or fraud</w:t>
      </w:r>
    </w:p>
    <w:p w14:paraId="4632267E" w14:textId="03852EAA" w:rsidR="008852F0" w:rsidRDefault="008852F0" w:rsidP="008852F0">
      <w:pPr>
        <w:numPr>
          <w:ilvl w:val="1"/>
          <w:numId w:val="16"/>
        </w:numPr>
      </w:pPr>
      <w:r w:rsidRPr="008852F0">
        <w:t>Gaps in current tax policy</w:t>
      </w:r>
    </w:p>
    <w:tbl>
      <w:tblPr>
        <w:tblStyle w:val="GridTable5Dark-Accent1"/>
        <w:tblW w:w="0" w:type="auto"/>
        <w:tblLook w:val="04A0" w:firstRow="1" w:lastRow="0" w:firstColumn="1" w:lastColumn="0" w:noHBand="0" w:noVBand="1"/>
      </w:tblPr>
      <w:tblGrid>
        <w:gridCol w:w="2157"/>
        <w:gridCol w:w="2157"/>
        <w:gridCol w:w="2158"/>
        <w:gridCol w:w="2158"/>
      </w:tblGrid>
      <w:tr w:rsidR="00BF0E8B" w14:paraId="6603884F" w14:textId="77777777" w:rsidTr="000B4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57500565" w14:textId="3FFCC1F0" w:rsidR="00BF0E8B" w:rsidRDefault="00BF0E8B" w:rsidP="00BF0E8B">
            <w:r w:rsidRPr="008852F0">
              <w:t>Country</w:t>
            </w:r>
          </w:p>
        </w:tc>
        <w:tc>
          <w:tcPr>
            <w:tcW w:w="2157" w:type="dxa"/>
            <w:vAlign w:val="center"/>
          </w:tcPr>
          <w:p w14:paraId="33EBCAE9" w14:textId="50837B64" w:rsidR="00BF0E8B" w:rsidRDefault="00BF0E8B" w:rsidP="00BF0E8B">
            <w:pPr>
              <w:cnfStyle w:val="100000000000" w:firstRow="1" w:lastRow="0" w:firstColumn="0" w:lastColumn="0" w:oddVBand="0" w:evenVBand="0" w:oddHBand="0" w:evenHBand="0" w:firstRowFirstColumn="0" w:firstRowLastColumn="0" w:lastRowFirstColumn="0" w:lastRowLastColumn="0"/>
            </w:pPr>
            <w:r w:rsidRPr="008852F0">
              <w:t>CIF Value (</w:t>
            </w:r>
            <w:r>
              <w:t>$</w:t>
            </w:r>
            <w:r w:rsidRPr="008852F0">
              <w:t>)</w:t>
            </w:r>
          </w:p>
        </w:tc>
        <w:tc>
          <w:tcPr>
            <w:tcW w:w="2158" w:type="dxa"/>
            <w:vAlign w:val="center"/>
          </w:tcPr>
          <w:p w14:paraId="77D4109A" w14:textId="24467110" w:rsidR="00BF0E8B" w:rsidRDefault="00BF0E8B" w:rsidP="00BF0E8B">
            <w:pPr>
              <w:cnfStyle w:val="100000000000" w:firstRow="1" w:lastRow="0" w:firstColumn="0" w:lastColumn="0" w:oddVBand="0" w:evenVBand="0" w:oddHBand="0" w:evenHBand="0" w:firstRowFirstColumn="0" w:firstRowLastColumn="0" w:lastRowFirstColumn="0" w:lastRowLastColumn="0"/>
            </w:pPr>
            <w:r w:rsidRPr="008852F0">
              <w:t>Tax Paid (</w:t>
            </w:r>
            <w:r>
              <w:t>$</w:t>
            </w:r>
            <w:r w:rsidRPr="008852F0">
              <w:t>)</w:t>
            </w:r>
          </w:p>
        </w:tc>
        <w:tc>
          <w:tcPr>
            <w:tcW w:w="2158" w:type="dxa"/>
            <w:vAlign w:val="center"/>
          </w:tcPr>
          <w:p w14:paraId="1D8DDA7C" w14:textId="3BF7E386" w:rsidR="00BF0E8B" w:rsidRDefault="00BF0E8B" w:rsidP="00BF0E8B">
            <w:pPr>
              <w:cnfStyle w:val="100000000000" w:firstRow="1" w:lastRow="0" w:firstColumn="0" w:lastColumn="0" w:oddVBand="0" w:evenVBand="0" w:oddHBand="0" w:evenHBand="0" w:firstRowFirstColumn="0" w:firstRowLastColumn="0" w:lastRowFirstColumn="0" w:lastRowLastColumn="0"/>
            </w:pPr>
            <w:r w:rsidRPr="008852F0">
              <w:t>Avg. Tax Rate</w:t>
            </w:r>
          </w:p>
        </w:tc>
      </w:tr>
      <w:tr w:rsidR="00BF0E8B" w14:paraId="3322E1D8" w14:textId="77777777" w:rsidTr="00D46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3091208F" w14:textId="0559547E" w:rsidR="00BF0E8B" w:rsidRDefault="00BF0E8B" w:rsidP="00BF0E8B">
            <w:r w:rsidRPr="008852F0">
              <w:t>Luxembourg</w:t>
            </w:r>
          </w:p>
        </w:tc>
        <w:tc>
          <w:tcPr>
            <w:tcW w:w="2157" w:type="dxa"/>
            <w:vAlign w:val="center"/>
          </w:tcPr>
          <w:p w14:paraId="4A9AC9F7" w14:textId="4F0B1BB9"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₦40.97 billion</w:t>
            </w:r>
          </w:p>
        </w:tc>
        <w:tc>
          <w:tcPr>
            <w:tcW w:w="2158" w:type="dxa"/>
            <w:vAlign w:val="center"/>
          </w:tcPr>
          <w:p w14:paraId="2F42F587" w14:textId="783359A7"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₦607 million</w:t>
            </w:r>
          </w:p>
        </w:tc>
        <w:tc>
          <w:tcPr>
            <w:tcW w:w="2158" w:type="dxa"/>
            <w:vAlign w:val="center"/>
          </w:tcPr>
          <w:p w14:paraId="36D20BFE" w14:textId="65034684"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1.48%</w:t>
            </w:r>
          </w:p>
        </w:tc>
      </w:tr>
      <w:tr w:rsidR="00BF0E8B" w14:paraId="37D896CD" w14:textId="77777777" w:rsidTr="00D4603B">
        <w:tc>
          <w:tcPr>
            <w:cnfStyle w:val="001000000000" w:firstRow="0" w:lastRow="0" w:firstColumn="1" w:lastColumn="0" w:oddVBand="0" w:evenVBand="0" w:oddHBand="0" w:evenHBand="0" w:firstRowFirstColumn="0" w:firstRowLastColumn="0" w:lastRowFirstColumn="0" w:lastRowLastColumn="0"/>
            <w:tcW w:w="2157" w:type="dxa"/>
            <w:vAlign w:val="center"/>
          </w:tcPr>
          <w:p w14:paraId="5C3EFBC0" w14:textId="49B510B1" w:rsidR="00BF0E8B" w:rsidRDefault="00BF0E8B" w:rsidP="00BF0E8B">
            <w:r w:rsidRPr="008852F0">
              <w:t>Argentina</w:t>
            </w:r>
          </w:p>
        </w:tc>
        <w:tc>
          <w:tcPr>
            <w:tcW w:w="2157" w:type="dxa"/>
            <w:vAlign w:val="center"/>
          </w:tcPr>
          <w:p w14:paraId="774CDE3F" w14:textId="424E2EDE"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₦49 million</w:t>
            </w:r>
          </w:p>
        </w:tc>
        <w:tc>
          <w:tcPr>
            <w:tcW w:w="2158" w:type="dxa"/>
            <w:vAlign w:val="center"/>
          </w:tcPr>
          <w:p w14:paraId="5AF70D7F" w14:textId="4C68C8F3"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₦1 million</w:t>
            </w:r>
          </w:p>
        </w:tc>
        <w:tc>
          <w:tcPr>
            <w:tcW w:w="2158" w:type="dxa"/>
            <w:vAlign w:val="center"/>
          </w:tcPr>
          <w:p w14:paraId="52CDAFA8" w14:textId="6AF1E4FF"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2.14%</w:t>
            </w:r>
          </w:p>
        </w:tc>
      </w:tr>
      <w:tr w:rsidR="00BF0E8B" w14:paraId="3E13754A" w14:textId="77777777" w:rsidTr="00D46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0B1DF6FD" w14:textId="5CEAF8DB" w:rsidR="00BF0E8B" w:rsidRDefault="00BF0E8B" w:rsidP="00BF0E8B">
            <w:r w:rsidRPr="008852F0">
              <w:t>Thailand</w:t>
            </w:r>
          </w:p>
        </w:tc>
        <w:tc>
          <w:tcPr>
            <w:tcW w:w="2157" w:type="dxa"/>
            <w:vAlign w:val="center"/>
          </w:tcPr>
          <w:p w14:paraId="17990A73" w14:textId="3D59CAE4"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₦22.5 billion</w:t>
            </w:r>
          </w:p>
        </w:tc>
        <w:tc>
          <w:tcPr>
            <w:tcW w:w="2158" w:type="dxa"/>
            <w:vAlign w:val="center"/>
          </w:tcPr>
          <w:p w14:paraId="65329CA4" w14:textId="38C964CB"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₦486 million</w:t>
            </w:r>
          </w:p>
        </w:tc>
        <w:tc>
          <w:tcPr>
            <w:tcW w:w="2158" w:type="dxa"/>
            <w:vAlign w:val="center"/>
          </w:tcPr>
          <w:p w14:paraId="61B028A0" w14:textId="212CA307"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2.17%</w:t>
            </w:r>
          </w:p>
        </w:tc>
      </w:tr>
      <w:tr w:rsidR="00BF0E8B" w14:paraId="5CB7D30C" w14:textId="77777777" w:rsidTr="00D4603B">
        <w:tc>
          <w:tcPr>
            <w:cnfStyle w:val="001000000000" w:firstRow="0" w:lastRow="0" w:firstColumn="1" w:lastColumn="0" w:oddVBand="0" w:evenVBand="0" w:oddHBand="0" w:evenHBand="0" w:firstRowFirstColumn="0" w:firstRowLastColumn="0" w:lastRowFirstColumn="0" w:lastRowLastColumn="0"/>
            <w:tcW w:w="2157" w:type="dxa"/>
            <w:vAlign w:val="center"/>
          </w:tcPr>
          <w:p w14:paraId="0B8778B2" w14:textId="487710DE" w:rsidR="00BF0E8B" w:rsidRDefault="00BF0E8B" w:rsidP="00BF0E8B">
            <w:r w:rsidRPr="008852F0">
              <w:t>Portugal</w:t>
            </w:r>
          </w:p>
        </w:tc>
        <w:tc>
          <w:tcPr>
            <w:tcW w:w="2157" w:type="dxa"/>
            <w:vAlign w:val="center"/>
          </w:tcPr>
          <w:p w14:paraId="672DEBD9" w14:textId="1ACEFFE0"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₦3.39 billion</w:t>
            </w:r>
          </w:p>
        </w:tc>
        <w:tc>
          <w:tcPr>
            <w:tcW w:w="2158" w:type="dxa"/>
            <w:vAlign w:val="center"/>
          </w:tcPr>
          <w:p w14:paraId="67BDE3F5" w14:textId="123AE515"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₦78 million</w:t>
            </w:r>
          </w:p>
        </w:tc>
        <w:tc>
          <w:tcPr>
            <w:tcW w:w="2158" w:type="dxa"/>
            <w:vAlign w:val="center"/>
          </w:tcPr>
          <w:p w14:paraId="7ADF1F11" w14:textId="78730CA6" w:rsidR="00BF0E8B" w:rsidRDefault="00BF0E8B" w:rsidP="00BF0E8B">
            <w:pPr>
              <w:cnfStyle w:val="000000000000" w:firstRow="0" w:lastRow="0" w:firstColumn="0" w:lastColumn="0" w:oddVBand="0" w:evenVBand="0" w:oddHBand="0" w:evenHBand="0" w:firstRowFirstColumn="0" w:firstRowLastColumn="0" w:lastRowFirstColumn="0" w:lastRowLastColumn="0"/>
            </w:pPr>
            <w:r w:rsidRPr="008852F0">
              <w:t>2.30%</w:t>
            </w:r>
          </w:p>
        </w:tc>
      </w:tr>
      <w:tr w:rsidR="00BF0E8B" w14:paraId="2052FC39" w14:textId="77777777" w:rsidTr="00D46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13286794" w14:textId="70B93B15" w:rsidR="00BF0E8B" w:rsidRDefault="00BF0E8B" w:rsidP="00BF0E8B">
            <w:r w:rsidRPr="008852F0">
              <w:t>India</w:t>
            </w:r>
          </w:p>
        </w:tc>
        <w:tc>
          <w:tcPr>
            <w:tcW w:w="2157" w:type="dxa"/>
            <w:vAlign w:val="center"/>
          </w:tcPr>
          <w:p w14:paraId="101A41AE" w14:textId="0D1C7B5C"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₦108.8 billion</w:t>
            </w:r>
          </w:p>
        </w:tc>
        <w:tc>
          <w:tcPr>
            <w:tcW w:w="2158" w:type="dxa"/>
            <w:vAlign w:val="center"/>
          </w:tcPr>
          <w:p w14:paraId="5A566A6E" w14:textId="18B52D19"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₦6.6 billion</w:t>
            </w:r>
          </w:p>
        </w:tc>
        <w:tc>
          <w:tcPr>
            <w:tcW w:w="2158" w:type="dxa"/>
            <w:vAlign w:val="center"/>
          </w:tcPr>
          <w:p w14:paraId="403DDCF8" w14:textId="798FE627" w:rsidR="00BF0E8B" w:rsidRDefault="00BF0E8B" w:rsidP="00BF0E8B">
            <w:pPr>
              <w:cnfStyle w:val="000000100000" w:firstRow="0" w:lastRow="0" w:firstColumn="0" w:lastColumn="0" w:oddVBand="0" w:evenVBand="0" w:oddHBand="1" w:evenHBand="0" w:firstRowFirstColumn="0" w:firstRowLastColumn="0" w:lastRowFirstColumn="0" w:lastRowLastColumn="0"/>
            </w:pPr>
            <w:r w:rsidRPr="008852F0">
              <w:t>6.08%</w:t>
            </w:r>
          </w:p>
        </w:tc>
      </w:tr>
      <w:tr w:rsidR="00BF0E8B" w14:paraId="574C75EC" w14:textId="77777777" w:rsidTr="00BF0E8B">
        <w:tc>
          <w:tcPr>
            <w:cnfStyle w:val="001000000000" w:firstRow="0" w:lastRow="0" w:firstColumn="1" w:lastColumn="0" w:oddVBand="0" w:evenVBand="0" w:oddHBand="0" w:evenHBand="0" w:firstRowFirstColumn="0" w:firstRowLastColumn="0" w:lastRowFirstColumn="0" w:lastRowLastColumn="0"/>
            <w:tcW w:w="2157" w:type="dxa"/>
          </w:tcPr>
          <w:p w14:paraId="2AA2E04A" w14:textId="77777777" w:rsidR="00BF0E8B" w:rsidRDefault="00BF0E8B" w:rsidP="00BF0E8B"/>
        </w:tc>
        <w:tc>
          <w:tcPr>
            <w:tcW w:w="2157" w:type="dxa"/>
          </w:tcPr>
          <w:p w14:paraId="45833898" w14:textId="77777777" w:rsidR="00BF0E8B" w:rsidRDefault="00BF0E8B" w:rsidP="00BF0E8B">
            <w:pPr>
              <w:cnfStyle w:val="000000000000" w:firstRow="0" w:lastRow="0" w:firstColumn="0" w:lastColumn="0" w:oddVBand="0" w:evenVBand="0" w:oddHBand="0" w:evenHBand="0" w:firstRowFirstColumn="0" w:firstRowLastColumn="0" w:lastRowFirstColumn="0" w:lastRowLastColumn="0"/>
            </w:pPr>
          </w:p>
        </w:tc>
        <w:tc>
          <w:tcPr>
            <w:tcW w:w="2158" w:type="dxa"/>
          </w:tcPr>
          <w:p w14:paraId="561F0485" w14:textId="77777777" w:rsidR="00BF0E8B" w:rsidRDefault="00BF0E8B" w:rsidP="00BF0E8B">
            <w:pPr>
              <w:cnfStyle w:val="000000000000" w:firstRow="0" w:lastRow="0" w:firstColumn="0" w:lastColumn="0" w:oddVBand="0" w:evenVBand="0" w:oddHBand="0" w:evenHBand="0" w:firstRowFirstColumn="0" w:firstRowLastColumn="0" w:lastRowFirstColumn="0" w:lastRowLastColumn="0"/>
            </w:pPr>
          </w:p>
        </w:tc>
        <w:tc>
          <w:tcPr>
            <w:tcW w:w="2158" w:type="dxa"/>
          </w:tcPr>
          <w:p w14:paraId="7EFD5255" w14:textId="77777777" w:rsidR="00BF0E8B" w:rsidRDefault="00BF0E8B" w:rsidP="00BF0E8B">
            <w:pPr>
              <w:cnfStyle w:val="000000000000" w:firstRow="0" w:lastRow="0" w:firstColumn="0" w:lastColumn="0" w:oddVBand="0" w:evenVBand="0" w:oddHBand="0" w:evenHBand="0" w:firstRowFirstColumn="0" w:firstRowLastColumn="0" w:lastRowFirstColumn="0" w:lastRowLastColumn="0"/>
            </w:pPr>
          </w:p>
        </w:tc>
      </w:tr>
    </w:tbl>
    <w:p w14:paraId="3AAC051D" w14:textId="0D9398A8" w:rsidR="008852F0" w:rsidRDefault="008852F0"/>
    <w:p w14:paraId="4AC93D10" w14:textId="77777777" w:rsidR="008852F0" w:rsidRDefault="008852F0"/>
    <w:p w14:paraId="1A1C58AA" w14:textId="0EB1EA0B" w:rsidR="008852F0" w:rsidRPr="008852F0" w:rsidRDefault="00770A88" w:rsidP="008852F0">
      <w:pPr>
        <w:rPr>
          <w:b/>
          <w:bCs/>
        </w:rPr>
      </w:pPr>
      <w:r>
        <w:br/>
      </w:r>
      <w:r w:rsidR="008852F0" w:rsidRPr="008852F0">
        <w:rPr>
          <w:b/>
          <w:bCs/>
        </w:rPr>
        <w:t>Recommendations</w:t>
      </w:r>
    </w:p>
    <w:p w14:paraId="4C8221C9" w14:textId="77777777" w:rsidR="008852F0" w:rsidRPr="008852F0" w:rsidRDefault="008852F0" w:rsidP="008852F0">
      <w:pPr>
        <w:numPr>
          <w:ilvl w:val="0"/>
          <w:numId w:val="17"/>
        </w:numPr>
      </w:pPr>
      <w:r w:rsidRPr="008852F0">
        <w:rPr>
          <w:b/>
          <w:bCs/>
        </w:rPr>
        <w:t>Optimized Tax Policy for Under-Taxed Categories</w:t>
      </w:r>
    </w:p>
    <w:p w14:paraId="3757066B" w14:textId="77777777" w:rsidR="008852F0" w:rsidRPr="008852F0" w:rsidRDefault="008852F0" w:rsidP="008852F0">
      <w:pPr>
        <w:numPr>
          <w:ilvl w:val="1"/>
          <w:numId w:val="17"/>
        </w:numPr>
      </w:pPr>
      <w:r w:rsidRPr="008852F0">
        <w:t xml:space="preserve">Conduct a thorough review of </w:t>
      </w:r>
      <w:r w:rsidRPr="008852F0">
        <w:rPr>
          <w:b/>
          <w:bCs/>
        </w:rPr>
        <w:t>HS classifications</w:t>
      </w:r>
      <w:r w:rsidRPr="008852F0">
        <w:t xml:space="preserve"> and declared values for categories such as </w:t>
      </w:r>
      <w:r w:rsidRPr="008852F0">
        <w:rPr>
          <w:i/>
          <w:iCs/>
        </w:rPr>
        <w:t>Raw hides and skins</w:t>
      </w:r>
      <w:r w:rsidRPr="008852F0">
        <w:t xml:space="preserve">, </w:t>
      </w:r>
      <w:r w:rsidRPr="008852F0">
        <w:rPr>
          <w:i/>
          <w:iCs/>
        </w:rPr>
        <w:t>Tobacco</w:t>
      </w:r>
      <w:r w:rsidRPr="008852F0">
        <w:t xml:space="preserve">, and </w:t>
      </w:r>
      <w:r w:rsidRPr="008852F0">
        <w:rPr>
          <w:i/>
          <w:iCs/>
        </w:rPr>
        <w:t>Cork articles</w:t>
      </w:r>
      <w:r w:rsidRPr="008852F0">
        <w:t>.</w:t>
      </w:r>
    </w:p>
    <w:p w14:paraId="209E0E04" w14:textId="77777777" w:rsidR="008852F0" w:rsidRPr="008852F0" w:rsidRDefault="008852F0" w:rsidP="008852F0">
      <w:pPr>
        <w:numPr>
          <w:ilvl w:val="1"/>
          <w:numId w:val="17"/>
        </w:numPr>
      </w:pPr>
      <w:r w:rsidRPr="008852F0">
        <w:t xml:space="preserve">Implement </w:t>
      </w:r>
      <w:r w:rsidRPr="008852F0">
        <w:rPr>
          <w:b/>
          <w:bCs/>
        </w:rPr>
        <w:t>benchmark pricing</w:t>
      </w:r>
      <w:r w:rsidRPr="008852F0">
        <w:t xml:space="preserve"> and </w:t>
      </w:r>
      <w:r w:rsidRPr="008852F0">
        <w:rPr>
          <w:b/>
          <w:bCs/>
        </w:rPr>
        <w:t>minimum tax thresholds</w:t>
      </w:r>
      <w:r w:rsidRPr="008852F0">
        <w:t xml:space="preserve"> for historically under-taxed goods.</w:t>
      </w:r>
    </w:p>
    <w:p w14:paraId="6A8C6C71" w14:textId="77777777" w:rsidR="008852F0" w:rsidRPr="008852F0" w:rsidRDefault="008852F0" w:rsidP="008852F0">
      <w:pPr>
        <w:numPr>
          <w:ilvl w:val="1"/>
          <w:numId w:val="17"/>
        </w:numPr>
      </w:pPr>
      <w:r w:rsidRPr="008852F0">
        <w:t>Consider using AI/ML models to flag unusually low tax/CIF ratios in real time.</w:t>
      </w:r>
    </w:p>
    <w:p w14:paraId="282925B6" w14:textId="77777777" w:rsidR="008852F0" w:rsidRPr="008852F0" w:rsidRDefault="008852F0" w:rsidP="008852F0">
      <w:pPr>
        <w:numPr>
          <w:ilvl w:val="0"/>
          <w:numId w:val="17"/>
        </w:numPr>
      </w:pPr>
      <w:r w:rsidRPr="008852F0">
        <w:rPr>
          <w:b/>
          <w:bCs/>
        </w:rPr>
        <w:t>Scrutiny on Imports from High-Risk Countries</w:t>
      </w:r>
    </w:p>
    <w:p w14:paraId="4D9877DB" w14:textId="77777777" w:rsidR="008852F0" w:rsidRPr="008852F0" w:rsidRDefault="008852F0" w:rsidP="008852F0">
      <w:pPr>
        <w:numPr>
          <w:ilvl w:val="1"/>
          <w:numId w:val="17"/>
        </w:numPr>
      </w:pPr>
      <w:r w:rsidRPr="008852F0">
        <w:t xml:space="preserve">Establish a </w:t>
      </w:r>
      <w:r w:rsidRPr="008852F0">
        <w:rPr>
          <w:b/>
          <w:bCs/>
        </w:rPr>
        <w:t>customs intelligence unit</w:t>
      </w:r>
      <w:r w:rsidRPr="008852F0">
        <w:t xml:space="preserve"> to monitor trade from countries like </w:t>
      </w:r>
      <w:r w:rsidRPr="008852F0">
        <w:rPr>
          <w:b/>
          <w:bCs/>
        </w:rPr>
        <w:t>Luxembourg</w:t>
      </w:r>
      <w:r w:rsidRPr="008852F0">
        <w:t xml:space="preserve">, </w:t>
      </w:r>
      <w:r w:rsidRPr="008852F0">
        <w:rPr>
          <w:b/>
          <w:bCs/>
        </w:rPr>
        <w:t>Thailand</w:t>
      </w:r>
      <w:r w:rsidRPr="008852F0">
        <w:t xml:space="preserve">, and </w:t>
      </w:r>
      <w:r w:rsidRPr="008852F0">
        <w:rPr>
          <w:b/>
          <w:bCs/>
        </w:rPr>
        <w:t>India</w:t>
      </w:r>
      <w:r w:rsidRPr="008852F0">
        <w:t>, where import volumes are high but taxation is low.</w:t>
      </w:r>
    </w:p>
    <w:p w14:paraId="6D3AE3FF" w14:textId="77777777" w:rsidR="008852F0" w:rsidRPr="008852F0" w:rsidRDefault="008852F0" w:rsidP="008852F0">
      <w:pPr>
        <w:numPr>
          <w:ilvl w:val="1"/>
          <w:numId w:val="17"/>
        </w:numPr>
      </w:pPr>
      <w:r w:rsidRPr="008852F0">
        <w:t xml:space="preserve">Introduce </w:t>
      </w:r>
      <w:r w:rsidRPr="008852F0">
        <w:rPr>
          <w:b/>
          <w:bCs/>
        </w:rPr>
        <w:t>audits and data cross-verification</w:t>
      </w:r>
      <w:r w:rsidRPr="008852F0">
        <w:t xml:space="preserve"> with trading partners to identify potential misreporting.</w:t>
      </w:r>
    </w:p>
    <w:p w14:paraId="0749ACDE" w14:textId="77777777" w:rsidR="008852F0" w:rsidRPr="008852F0" w:rsidRDefault="008852F0" w:rsidP="008852F0">
      <w:pPr>
        <w:numPr>
          <w:ilvl w:val="1"/>
          <w:numId w:val="17"/>
        </w:numPr>
      </w:pPr>
      <w:r w:rsidRPr="008852F0">
        <w:t xml:space="preserve">Review existing </w:t>
      </w:r>
      <w:r w:rsidRPr="008852F0">
        <w:rPr>
          <w:b/>
          <w:bCs/>
        </w:rPr>
        <w:t>bilateral trade agreements</w:t>
      </w:r>
      <w:r w:rsidRPr="008852F0">
        <w:t xml:space="preserve"> and waivers for loopholes that might reduce tax yield.</w:t>
      </w:r>
    </w:p>
    <w:p w14:paraId="3079849C" w14:textId="77777777" w:rsidR="008852F0" w:rsidRPr="008852F0" w:rsidRDefault="008852F0" w:rsidP="008852F0">
      <w:pPr>
        <w:numPr>
          <w:ilvl w:val="0"/>
          <w:numId w:val="17"/>
        </w:numPr>
      </w:pPr>
      <w:r w:rsidRPr="008852F0">
        <w:rPr>
          <w:b/>
          <w:bCs/>
        </w:rPr>
        <w:t>Invest in Digital Customs Infrastructure</w:t>
      </w:r>
    </w:p>
    <w:p w14:paraId="40E124D8" w14:textId="77777777" w:rsidR="008852F0" w:rsidRPr="008852F0" w:rsidRDefault="008852F0" w:rsidP="008852F0">
      <w:pPr>
        <w:numPr>
          <w:ilvl w:val="1"/>
          <w:numId w:val="17"/>
        </w:numPr>
      </w:pPr>
      <w:r w:rsidRPr="008852F0">
        <w:t xml:space="preserve">Strengthen </w:t>
      </w:r>
      <w:r w:rsidRPr="008852F0">
        <w:rPr>
          <w:b/>
          <w:bCs/>
        </w:rPr>
        <w:t>automated valuation</w:t>
      </w:r>
      <w:r w:rsidRPr="008852F0">
        <w:t xml:space="preserve"> and </w:t>
      </w:r>
      <w:r w:rsidRPr="008852F0">
        <w:rPr>
          <w:b/>
          <w:bCs/>
        </w:rPr>
        <w:t>risk assessment</w:t>
      </w:r>
      <w:r w:rsidRPr="008852F0">
        <w:t xml:space="preserve"> tools.</w:t>
      </w:r>
    </w:p>
    <w:p w14:paraId="184F59F3" w14:textId="77777777" w:rsidR="008852F0" w:rsidRPr="008852F0" w:rsidRDefault="008852F0" w:rsidP="008852F0">
      <w:pPr>
        <w:numPr>
          <w:ilvl w:val="1"/>
          <w:numId w:val="17"/>
        </w:numPr>
      </w:pPr>
      <w:r w:rsidRPr="008852F0">
        <w:lastRenderedPageBreak/>
        <w:t xml:space="preserve">Enable </w:t>
      </w:r>
      <w:r w:rsidRPr="008852F0">
        <w:rPr>
          <w:b/>
          <w:bCs/>
        </w:rPr>
        <w:t>real-time alerts</w:t>
      </w:r>
      <w:r w:rsidRPr="008852F0">
        <w:t xml:space="preserve"> for transactions where tax/CIF ratios fall below threshold levels.</w:t>
      </w:r>
    </w:p>
    <w:p w14:paraId="373A6CD6" w14:textId="77777777" w:rsidR="008852F0" w:rsidRPr="008852F0" w:rsidRDefault="008852F0" w:rsidP="008852F0">
      <w:pPr>
        <w:numPr>
          <w:ilvl w:val="0"/>
          <w:numId w:val="17"/>
        </w:numPr>
      </w:pPr>
      <w:r w:rsidRPr="008852F0">
        <w:rPr>
          <w:b/>
          <w:bCs/>
        </w:rPr>
        <w:t>Public-Private Collaboration</w:t>
      </w:r>
    </w:p>
    <w:p w14:paraId="576E1200" w14:textId="77777777" w:rsidR="008852F0" w:rsidRPr="008852F0" w:rsidRDefault="008852F0" w:rsidP="008852F0">
      <w:pPr>
        <w:numPr>
          <w:ilvl w:val="1"/>
          <w:numId w:val="17"/>
        </w:numPr>
      </w:pPr>
      <w:r w:rsidRPr="008852F0">
        <w:t xml:space="preserve">Work with importers and brokers to </w:t>
      </w:r>
      <w:r w:rsidRPr="008852F0">
        <w:rPr>
          <w:b/>
          <w:bCs/>
        </w:rPr>
        <w:t>educate and enforce transparency</w:t>
      </w:r>
      <w:r w:rsidRPr="008852F0">
        <w:t>, reducing unintentional underreporting.</w:t>
      </w:r>
    </w:p>
    <w:p w14:paraId="7BAA04AA" w14:textId="77777777" w:rsidR="008852F0" w:rsidRPr="00770A88" w:rsidRDefault="00770A88" w:rsidP="008852F0">
      <w:pPr>
        <w:rPr>
          <w:b/>
          <w:bCs/>
        </w:rPr>
      </w:pPr>
      <w:r w:rsidRPr="00770A88">
        <w:rPr>
          <w:b/>
          <w:bCs/>
        </w:rPr>
        <w:t>Conclusion</w:t>
      </w:r>
    </w:p>
    <w:p w14:paraId="5A27DFBE" w14:textId="77777777" w:rsidR="00DA1203" w:rsidRDefault="00DA1203" w:rsidP="00770A88">
      <w:pPr>
        <w:jc w:val="both"/>
      </w:pPr>
      <w:r>
        <w:t>The comprehensive analysis of the trade and customs dataset reveals systemic imbalances, untapped revenue potential, and logistical concentration risks that call for urgent policy and operational attention.</w:t>
      </w:r>
    </w:p>
    <w:p w14:paraId="61C33EA3" w14:textId="7A9E37E5" w:rsidR="009D681C" w:rsidRDefault="00DA1203" w:rsidP="00DA1203">
      <w:pPr>
        <w:jc w:val="both"/>
      </w:pPr>
      <w:r>
        <w:t xml:space="preserve">Key findings highlight a </w:t>
      </w:r>
      <w:r>
        <w:rPr>
          <w:rStyle w:val="Strong"/>
        </w:rPr>
        <w:t>highly skewed tax structure</w:t>
      </w:r>
      <w:r>
        <w:t xml:space="preserve">, where a small number of product categories notably </w:t>
      </w:r>
      <w:r>
        <w:rPr>
          <w:rStyle w:val="Emphasis"/>
        </w:rPr>
        <w:t>Inorganic Chemicals</w:t>
      </w:r>
      <w:r>
        <w:t xml:space="preserve">, </w:t>
      </w:r>
      <w:r>
        <w:rPr>
          <w:rStyle w:val="Emphasis"/>
        </w:rPr>
        <w:t>Wood Articles</w:t>
      </w:r>
      <w:r>
        <w:t xml:space="preserve">, and </w:t>
      </w:r>
      <w:r>
        <w:rPr>
          <w:rStyle w:val="Emphasis"/>
        </w:rPr>
        <w:t>Sugar Confectioneries</w:t>
      </w:r>
      <w:r>
        <w:t>,</w:t>
      </w:r>
      <w:r>
        <w:t xml:space="preserve"> account for a disproportionate share of the total tax revenue. Conversely, several </w:t>
      </w:r>
      <w:r>
        <w:rPr>
          <w:rStyle w:val="Strong"/>
        </w:rPr>
        <w:t>high-CIF categories</w:t>
      </w:r>
      <w:r>
        <w:t xml:space="preserve"> such as </w:t>
      </w:r>
      <w:r>
        <w:rPr>
          <w:rStyle w:val="Emphasis"/>
        </w:rPr>
        <w:t>Raw Hides and Skins</w:t>
      </w:r>
      <w:r>
        <w:t xml:space="preserve">, </w:t>
      </w:r>
      <w:r>
        <w:rPr>
          <w:rStyle w:val="Emphasis"/>
        </w:rPr>
        <w:t>Tobacco</w:t>
      </w:r>
      <w:r>
        <w:t xml:space="preserve">, and </w:t>
      </w:r>
      <w:r>
        <w:rPr>
          <w:rStyle w:val="Emphasis"/>
        </w:rPr>
        <w:t>Printed Books</w:t>
      </w:r>
      <w:r>
        <w:t xml:space="preserve"> demonstrate </w:t>
      </w:r>
      <w:r>
        <w:rPr>
          <w:rStyle w:val="Strong"/>
        </w:rPr>
        <w:t>alarmingly low Tax-to-CIF ratios</w:t>
      </w:r>
      <w:r>
        <w:t xml:space="preserve">, suggesting potential </w:t>
      </w:r>
      <w:r>
        <w:rPr>
          <w:rStyle w:val="Strong"/>
        </w:rPr>
        <w:t>under-taxation</w:t>
      </w:r>
      <w:r>
        <w:t>, policy leniency, or deliberate misreporting. These inefficiencies translate into lost revenue and compliance vulnerabilities that compromise fiscal stability and fair</w:t>
      </w:r>
      <w:r>
        <w:t xml:space="preserve"> </w:t>
      </w:r>
      <w:r>
        <w:t>trade enforcement.</w:t>
      </w:r>
    </w:p>
    <w:p w14:paraId="22D34FFE" w14:textId="44008AE7" w:rsidR="00880D39" w:rsidRDefault="00880D39" w:rsidP="00DA1203">
      <w:pPr>
        <w:jc w:val="both"/>
      </w:pPr>
      <w:r>
        <w:t xml:space="preserve">Moreover, the dataset exhibits strong concentration in both trade value and volume. Over </w:t>
      </w:r>
      <w:r>
        <w:rPr>
          <w:rStyle w:val="Strong"/>
        </w:rPr>
        <w:t>50% of import weight and nearly 40% of FOB value</w:t>
      </w:r>
      <w:r>
        <w:t xml:space="preserve"> originate from </w:t>
      </w:r>
      <w:r>
        <w:rPr>
          <w:rStyle w:val="Strong"/>
        </w:rPr>
        <w:t>China</w:t>
      </w:r>
      <w:r>
        <w:t xml:space="preserve">, underscoring a </w:t>
      </w:r>
      <w:r>
        <w:rPr>
          <w:rStyle w:val="Strong"/>
        </w:rPr>
        <w:t>strategic dependency risk</w:t>
      </w:r>
      <w:r>
        <w:t xml:space="preserve"> in logistics and supply chains. This concentration, while efficient for scale, exposes national trade resilience to geopolitical and economic disruptions.</w:t>
      </w:r>
    </w:p>
    <w:p w14:paraId="63DDAA64" w14:textId="7EC13DA7" w:rsidR="00880D39" w:rsidRDefault="00880D39" w:rsidP="00DA1203">
      <w:pPr>
        <w:jc w:val="both"/>
      </w:pPr>
      <w:r>
        <w:t xml:space="preserve">From a data infrastructure standpoint, this analysis reveals opportunities to </w:t>
      </w:r>
      <w:r>
        <w:rPr>
          <w:rStyle w:val="Strong"/>
        </w:rPr>
        <w:t>integrate advanced analytics and automation into customs operations</w:t>
      </w:r>
      <w:r>
        <w:t>. Predictive models, anomaly detection algorithms, and tax benchmarking systems can proactively flag suspicious transactions, reduce manual oversight, and improve revenue assurance.</w:t>
      </w:r>
    </w:p>
    <w:sectPr w:rsidR="00880D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220F6"/>
    <w:multiLevelType w:val="hybridMultilevel"/>
    <w:tmpl w:val="86CEEF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34222"/>
    <w:multiLevelType w:val="hybridMultilevel"/>
    <w:tmpl w:val="CD6C62A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FB66FFB"/>
    <w:multiLevelType w:val="hybridMultilevel"/>
    <w:tmpl w:val="9E34D14E"/>
    <w:lvl w:ilvl="0" w:tplc="B3C4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94E59"/>
    <w:multiLevelType w:val="hybridMultilevel"/>
    <w:tmpl w:val="FDF066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B797B"/>
    <w:multiLevelType w:val="hybridMultilevel"/>
    <w:tmpl w:val="CDAA8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61E3D"/>
    <w:multiLevelType w:val="hybridMultilevel"/>
    <w:tmpl w:val="7A2691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B4648"/>
    <w:multiLevelType w:val="hybridMultilevel"/>
    <w:tmpl w:val="DF3447B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F30E1"/>
    <w:multiLevelType w:val="multilevel"/>
    <w:tmpl w:val="DF76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E06F2"/>
    <w:multiLevelType w:val="hybridMultilevel"/>
    <w:tmpl w:val="5E009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21EA3"/>
    <w:multiLevelType w:val="hybridMultilevel"/>
    <w:tmpl w:val="07966E1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4E7BB2"/>
    <w:multiLevelType w:val="multilevel"/>
    <w:tmpl w:val="529A4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61F2D"/>
    <w:multiLevelType w:val="hybridMultilevel"/>
    <w:tmpl w:val="69846E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6542D9E"/>
    <w:multiLevelType w:val="hybridMultilevel"/>
    <w:tmpl w:val="6D0023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263C3"/>
    <w:multiLevelType w:val="hybridMultilevel"/>
    <w:tmpl w:val="F2346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56A1C"/>
    <w:multiLevelType w:val="multilevel"/>
    <w:tmpl w:val="FC3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E24F7"/>
    <w:multiLevelType w:val="hybridMultilevel"/>
    <w:tmpl w:val="FED4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EC60A0"/>
    <w:multiLevelType w:val="multilevel"/>
    <w:tmpl w:val="439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52BB7"/>
    <w:multiLevelType w:val="multilevel"/>
    <w:tmpl w:val="88A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13"/>
  </w:num>
  <w:num w:numId="12">
    <w:abstractNumId w:val="24"/>
  </w:num>
  <w:num w:numId="13">
    <w:abstractNumId w:val="25"/>
  </w:num>
  <w:num w:numId="14">
    <w:abstractNumId w:val="26"/>
  </w:num>
  <w:num w:numId="15">
    <w:abstractNumId w:val="23"/>
  </w:num>
  <w:num w:numId="16">
    <w:abstractNumId w:val="16"/>
  </w:num>
  <w:num w:numId="17">
    <w:abstractNumId w:val="19"/>
  </w:num>
  <w:num w:numId="18">
    <w:abstractNumId w:val="22"/>
  </w:num>
  <w:num w:numId="19">
    <w:abstractNumId w:val="12"/>
  </w:num>
  <w:num w:numId="20">
    <w:abstractNumId w:val="11"/>
  </w:num>
  <w:num w:numId="21">
    <w:abstractNumId w:val="15"/>
  </w:num>
  <w:num w:numId="22">
    <w:abstractNumId w:val="10"/>
  </w:num>
  <w:num w:numId="23">
    <w:abstractNumId w:val="18"/>
  </w:num>
  <w:num w:numId="24">
    <w:abstractNumId w:val="20"/>
  </w:num>
  <w:num w:numId="25">
    <w:abstractNumId w:val="9"/>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93A"/>
    <w:rsid w:val="00034616"/>
    <w:rsid w:val="0006063C"/>
    <w:rsid w:val="000961E6"/>
    <w:rsid w:val="0010495D"/>
    <w:rsid w:val="0015074B"/>
    <w:rsid w:val="001C70E7"/>
    <w:rsid w:val="00272C5F"/>
    <w:rsid w:val="0029639D"/>
    <w:rsid w:val="00326F90"/>
    <w:rsid w:val="00344453"/>
    <w:rsid w:val="003D347C"/>
    <w:rsid w:val="00453DFB"/>
    <w:rsid w:val="00487771"/>
    <w:rsid w:val="00591B83"/>
    <w:rsid w:val="00617C0A"/>
    <w:rsid w:val="00707530"/>
    <w:rsid w:val="0070772F"/>
    <w:rsid w:val="0071502E"/>
    <w:rsid w:val="00736DB9"/>
    <w:rsid w:val="00770A88"/>
    <w:rsid w:val="007753F2"/>
    <w:rsid w:val="0081780B"/>
    <w:rsid w:val="00880D39"/>
    <w:rsid w:val="008852F0"/>
    <w:rsid w:val="008B391A"/>
    <w:rsid w:val="008F5FD7"/>
    <w:rsid w:val="00915FBA"/>
    <w:rsid w:val="00924EDA"/>
    <w:rsid w:val="009D681C"/>
    <w:rsid w:val="00A83ED0"/>
    <w:rsid w:val="00A94659"/>
    <w:rsid w:val="00AA1D8D"/>
    <w:rsid w:val="00AF5C72"/>
    <w:rsid w:val="00B47730"/>
    <w:rsid w:val="00BF0E8B"/>
    <w:rsid w:val="00C02E4D"/>
    <w:rsid w:val="00CB0664"/>
    <w:rsid w:val="00CF1B7F"/>
    <w:rsid w:val="00D17C8B"/>
    <w:rsid w:val="00D20A69"/>
    <w:rsid w:val="00DA1203"/>
    <w:rsid w:val="00DD30FF"/>
    <w:rsid w:val="00DF0E91"/>
    <w:rsid w:val="00F4548D"/>
    <w:rsid w:val="00F51E45"/>
    <w:rsid w:val="00F743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6A765"/>
  <w14:defaultImageDpi w14:val="300"/>
  <w15:docId w15:val="{6DC7957C-1EF6-47DC-96F6-9959A1E2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91B83"/>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0961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6247">
      <w:bodyDiv w:val="1"/>
      <w:marLeft w:val="0"/>
      <w:marRight w:val="0"/>
      <w:marTop w:val="0"/>
      <w:marBottom w:val="0"/>
      <w:divBdr>
        <w:top w:val="none" w:sz="0" w:space="0" w:color="auto"/>
        <w:left w:val="none" w:sz="0" w:space="0" w:color="auto"/>
        <w:bottom w:val="none" w:sz="0" w:space="0" w:color="auto"/>
        <w:right w:val="none" w:sz="0" w:space="0" w:color="auto"/>
      </w:divBdr>
    </w:div>
    <w:div w:id="193232620">
      <w:bodyDiv w:val="1"/>
      <w:marLeft w:val="0"/>
      <w:marRight w:val="0"/>
      <w:marTop w:val="0"/>
      <w:marBottom w:val="0"/>
      <w:divBdr>
        <w:top w:val="none" w:sz="0" w:space="0" w:color="auto"/>
        <w:left w:val="none" w:sz="0" w:space="0" w:color="auto"/>
        <w:bottom w:val="none" w:sz="0" w:space="0" w:color="auto"/>
        <w:right w:val="none" w:sz="0" w:space="0" w:color="auto"/>
      </w:divBdr>
    </w:div>
    <w:div w:id="228997823">
      <w:bodyDiv w:val="1"/>
      <w:marLeft w:val="0"/>
      <w:marRight w:val="0"/>
      <w:marTop w:val="0"/>
      <w:marBottom w:val="0"/>
      <w:divBdr>
        <w:top w:val="none" w:sz="0" w:space="0" w:color="auto"/>
        <w:left w:val="none" w:sz="0" w:space="0" w:color="auto"/>
        <w:bottom w:val="none" w:sz="0" w:space="0" w:color="auto"/>
        <w:right w:val="none" w:sz="0" w:space="0" w:color="auto"/>
      </w:divBdr>
    </w:div>
    <w:div w:id="840198355">
      <w:bodyDiv w:val="1"/>
      <w:marLeft w:val="0"/>
      <w:marRight w:val="0"/>
      <w:marTop w:val="0"/>
      <w:marBottom w:val="0"/>
      <w:divBdr>
        <w:top w:val="none" w:sz="0" w:space="0" w:color="auto"/>
        <w:left w:val="none" w:sz="0" w:space="0" w:color="auto"/>
        <w:bottom w:val="none" w:sz="0" w:space="0" w:color="auto"/>
        <w:right w:val="none" w:sz="0" w:space="0" w:color="auto"/>
      </w:divBdr>
    </w:div>
    <w:div w:id="880094214">
      <w:bodyDiv w:val="1"/>
      <w:marLeft w:val="0"/>
      <w:marRight w:val="0"/>
      <w:marTop w:val="0"/>
      <w:marBottom w:val="0"/>
      <w:divBdr>
        <w:top w:val="none" w:sz="0" w:space="0" w:color="auto"/>
        <w:left w:val="none" w:sz="0" w:space="0" w:color="auto"/>
        <w:bottom w:val="none" w:sz="0" w:space="0" w:color="auto"/>
        <w:right w:val="none" w:sz="0" w:space="0" w:color="auto"/>
      </w:divBdr>
    </w:div>
    <w:div w:id="978463802">
      <w:bodyDiv w:val="1"/>
      <w:marLeft w:val="0"/>
      <w:marRight w:val="0"/>
      <w:marTop w:val="0"/>
      <w:marBottom w:val="0"/>
      <w:divBdr>
        <w:top w:val="none" w:sz="0" w:space="0" w:color="auto"/>
        <w:left w:val="none" w:sz="0" w:space="0" w:color="auto"/>
        <w:bottom w:val="none" w:sz="0" w:space="0" w:color="auto"/>
        <w:right w:val="none" w:sz="0" w:space="0" w:color="auto"/>
      </w:divBdr>
      <w:divsChild>
        <w:div w:id="414282225">
          <w:marLeft w:val="0"/>
          <w:marRight w:val="0"/>
          <w:marTop w:val="0"/>
          <w:marBottom w:val="0"/>
          <w:divBdr>
            <w:top w:val="none" w:sz="0" w:space="0" w:color="auto"/>
            <w:left w:val="none" w:sz="0" w:space="0" w:color="auto"/>
            <w:bottom w:val="none" w:sz="0" w:space="0" w:color="auto"/>
            <w:right w:val="none" w:sz="0" w:space="0" w:color="auto"/>
          </w:divBdr>
          <w:divsChild>
            <w:div w:id="580067171">
              <w:marLeft w:val="0"/>
              <w:marRight w:val="0"/>
              <w:marTop w:val="0"/>
              <w:marBottom w:val="0"/>
              <w:divBdr>
                <w:top w:val="none" w:sz="0" w:space="0" w:color="auto"/>
                <w:left w:val="none" w:sz="0" w:space="0" w:color="auto"/>
                <w:bottom w:val="none" w:sz="0" w:space="0" w:color="auto"/>
                <w:right w:val="none" w:sz="0" w:space="0" w:color="auto"/>
              </w:divBdr>
            </w:div>
          </w:divsChild>
        </w:div>
        <w:div w:id="780345025">
          <w:marLeft w:val="0"/>
          <w:marRight w:val="0"/>
          <w:marTop w:val="0"/>
          <w:marBottom w:val="0"/>
          <w:divBdr>
            <w:top w:val="none" w:sz="0" w:space="0" w:color="auto"/>
            <w:left w:val="none" w:sz="0" w:space="0" w:color="auto"/>
            <w:bottom w:val="none" w:sz="0" w:space="0" w:color="auto"/>
            <w:right w:val="none" w:sz="0" w:space="0" w:color="auto"/>
          </w:divBdr>
          <w:divsChild>
            <w:div w:id="855507546">
              <w:marLeft w:val="0"/>
              <w:marRight w:val="0"/>
              <w:marTop w:val="0"/>
              <w:marBottom w:val="0"/>
              <w:divBdr>
                <w:top w:val="none" w:sz="0" w:space="0" w:color="auto"/>
                <w:left w:val="none" w:sz="0" w:space="0" w:color="auto"/>
                <w:bottom w:val="none" w:sz="0" w:space="0" w:color="auto"/>
                <w:right w:val="none" w:sz="0" w:space="0" w:color="auto"/>
              </w:divBdr>
            </w:div>
          </w:divsChild>
        </w:div>
        <w:div w:id="741564774">
          <w:marLeft w:val="0"/>
          <w:marRight w:val="0"/>
          <w:marTop w:val="0"/>
          <w:marBottom w:val="0"/>
          <w:divBdr>
            <w:top w:val="none" w:sz="0" w:space="0" w:color="auto"/>
            <w:left w:val="none" w:sz="0" w:space="0" w:color="auto"/>
            <w:bottom w:val="none" w:sz="0" w:space="0" w:color="auto"/>
            <w:right w:val="none" w:sz="0" w:space="0" w:color="auto"/>
          </w:divBdr>
          <w:divsChild>
            <w:div w:id="764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103">
      <w:bodyDiv w:val="1"/>
      <w:marLeft w:val="0"/>
      <w:marRight w:val="0"/>
      <w:marTop w:val="0"/>
      <w:marBottom w:val="0"/>
      <w:divBdr>
        <w:top w:val="none" w:sz="0" w:space="0" w:color="auto"/>
        <w:left w:val="none" w:sz="0" w:space="0" w:color="auto"/>
        <w:bottom w:val="none" w:sz="0" w:space="0" w:color="auto"/>
        <w:right w:val="none" w:sz="0" w:space="0" w:color="auto"/>
      </w:divBdr>
      <w:divsChild>
        <w:div w:id="1915966649">
          <w:marLeft w:val="0"/>
          <w:marRight w:val="0"/>
          <w:marTop w:val="0"/>
          <w:marBottom w:val="0"/>
          <w:divBdr>
            <w:top w:val="none" w:sz="0" w:space="0" w:color="auto"/>
            <w:left w:val="none" w:sz="0" w:space="0" w:color="auto"/>
            <w:bottom w:val="none" w:sz="0" w:space="0" w:color="auto"/>
            <w:right w:val="none" w:sz="0" w:space="0" w:color="auto"/>
          </w:divBdr>
          <w:divsChild>
            <w:div w:id="636643095">
              <w:marLeft w:val="0"/>
              <w:marRight w:val="0"/>
              <w:marTop w:val="0"/>
              <w:marBottom w:val="0"/>
              <w:divBdr>
                <w:top w:val="none" w:sz="0" w:space="0" w:color="auto"/>
                <w:left w:val="none" w:sz="0" w:space="0" w:color="auto"/>
                <w:bottom w:val="none" w:sz="0" w:space="0" w:color="auto"/>
                <w:right w:val="none" w:sz="0" w:space="0" w:color="auto"/>
              </w:divBdr>
            </w:div>
          </w:divsChild>
        </w:div>
        <w:div w:id="1519394132">
          <w:marLeft w:val="0"/>
          <w:marRight w:val="0"/>
          <w:marTop w:val="0"/>
          <w:marBottom w:val="0"/>
          <w:divBdr>
            <w:top w:val="none" w:sz="0" w:space="0" w:color="auto"/>
            <w:left w:val="none" w:sz="0" w:space="0" w:color="auto"/>
            <w:bottom w:val="none" w:sz="0" w:space="0" w:color="auto"/>
            <w:right w:val="none" w:sz="0" w:space="0" w:color="auto"/>
          </w:divBdr>
          <w:divsChild>
            <w:div w:id="2142114910">
              <w:marLeft w:val="0"/>
              <w:marRight w:val="0"/>
              <w:marTop w:val="0"/>
              <w:marBottom w:val="0"/>
              <w:divBdr>
                <w:top w:val="none" w:sz="0" w:space="0" w:color="auto"/>
                <w:left w:val="none" w:sz="0" w:space="0" w:color="auto"/>
                <w:bottom w:val="none" w:sz="0" w:space="0" w:color="auto"/>
                <w:right w:val="none" w:sz="0" w:space="0" w:color="auto"/>
              </w:divBdr>
            </w:div>
          </w:divsChild>
        </w:div>
        <w:div w:id="1694769052">
          <w:marLeft w:val="0"/>
          <w:marRight w:val="0"/>
          <w:marTop w:val="0"/>
          <w:marBottom w:val="0"/>
          <w:divBdr>
            <w:top w:val="none" w:sz="0" w:space="0" w:color="auto"/>
            <w:left w:val="none" w:sz="0" w:space="0" w:color="auto"/>
            <w:bottom w:val="none" w:sz="0" w:space="0" w:color="auto"/>
            <w:right w:val="none" w:sz="0" w:space="0" w:color="auto"/>
          </w:divBdr>
          <w:divsChild>
            <w:div w:id="5328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350">
      <w:bodyDiv w:val="1"/>
      <w:marLeft w:val="0"/>
      <w:marRight w:val="0"/>
      <w:marTop w:val="0"/>
      <w:marBottom w:val="0"/>
      <w:divBdr>
        <w:top w:val="none" w:sz="0" w:space="0" w:color="auto"/>
        <w:left w:val="none" w:sz="0" w:space="0" w:color="auto"/>
        <w:bottom w:val="none" w:sz="0" w:space="0" w:color="auto"/>
        <w:right w:val="none" w:sz="0" w:space="0" w:color="auto"/>
      </w:divBdr>
    </w:div>
    <w:div w:id="1376660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patrick benjamin</cp:lastModifiedBy>
  <cp:revision>5</cp:revision>
  <dcterms:created xsi:type="dcterms:W3CDTF">2025-08-04T17:21:00Z</dcterms:created>
  <dcterms:modified xsi:type="dcterms:W3CDTF">2025-08-07T21:34:00Z</dcterms:modified>
  <cp:category/>
</cp:coreProperties>
</file>