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w:t>
      </w:r>
      <w:r w:rsidDel="00000000" w:rsidR="00000000" w:rsidRPr="00000000">
        <w:rPr>
          <w:rFonts w:ascii="Arial" w:cs="Arial" w:eastAsia="Arial" w:hAnsi="Arial"/>
          <w:b w:val="1"/>
          <w:bCs w:val="1"/>
          <w:sz w:val="36"/>
          <w:szCs w:val="36"/>
          <w:rtl w:val="0"/>
        </w:rPr>
        <w:t xml:space="preserve">8</w:t>
      </w:r>
      <w:r w:rsidDel="00000000" w:rsidR="00000000" w:rsidRPr="00000000">
        <w:rPr>
          <w:rFonts w:ascii="Arial" w:cs="Arial" w:eastAsia="Arial" w:hAnsi="Arial"/>
          <w:b w:val="1"/>
          <w:bCs w:val="1"/>
          <w:color w:val="000000"/>
          <w:sz w:val="36"/>
          <w:szCs w:val="36"/>
          <w:vertAlign w:val="baseline"/>
          <w:rtl w:val="0"/>
        </w:rPr>
        <w:t xml:space="preserve">#</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w:t>
            </w:r>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color w:val="000000"/>
                <w:sz w:val="24"/>
                <w:szCs w:val="24"/>
                <w:vertAlign w:val="baseline"/>
                <w:rtl w:val="0"/>
              </w:rPr>
              <w:t xml:space="preserve">-10-2026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u w:val="single"/>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Benjamin Isaac Casellas Madrid</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color w:val="365f91"/>
                <w:sz w:val="24"/>
                <w:szCs w:val="24"/>
                <w:rtl w:val="0"/>
              </w:rPr>
              <w:t xml:space="preserve">se logra la carga de modelos completos para interacción de usuarios dentro de la plataforma, dando la disponibilidad de usar muebles, muros, etc</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establece la división entre usuarios admin y usuarios, esto es adecuado para poder almacenar los modelos creados por los usuarios </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logra establecer una categorización de los materiales que pueden ser utilizados en ambiente 3D, dando claridad al momento de construir </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tiene por estado de completo el 80% de los documentos relacionados a scrum, arquitectura y EDT económico del sistema</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color w:val="365f91"/>
                <w:sz w:val="24"/>
                <w:szCs w:val="24"/>
                <w:rtl w:val="0"/>
              </w:rPr>
              <w:t xml:space="preserve">La funcionalidad de calcular los metros cuadrados para los objetos dispuestos por el escenario 3D.</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Y por último, se nos fue recomendado buscar una api la cual puede ser consumida para usar los materiales, pero de se nos fue complicado encontrar una que fuera open source para nuestro proyecto.</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color w:val="365f91"/>
                <w:sz w:val="24"/>
                <w:szCs w:val="24"/>
                <w:rtl w:val="0"/>
              </w:rPr>
              <w:t xml:space="preserve">Terminar los documentos faltantes para entrega de 50% dispuesto para fecha 13 de octubre.</w:t>
            </w:r>
          </w:p>
          <w:p w:rsidR="00000000" w:rsidDel="00000000" w:rsidP="00000000" w:rsidRDefault="00000000" w:rsidRPr="00000000" w14:paraId="0000003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Integrar la funcionalidad de cálculo metro cuadrados para materiales, entregando el aporte de diseños más adecuados para usuarios familiarizados con medidas estandares.</w:t>
            </w:r>
          </w:p>
          <w:p w:rsidR="00000000" w:rsidDel="00000000" w:rsidP="00000000" w:rsidRDefault="00000000" w:rsidRPr="00000000" w14:paraId="0000003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Presentar mejoras a vistas externas a la vista dedicada a la vista de usuarios tridimensional. </w:t>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C">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3D">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p w:rsidR="00000000" w:rsidDel="00000000" w:rsidP="00000000" w:rsidRDefault="00000000" w:rsidRPr="00000000" w14:paraId="0000003E">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3F">
      <w:pPr>
        <w:spacing w:after="0" w:line="240" w:lineRule="auto"/>
        <w:ind w:left="720" w:firstLine="0"/>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Evidencia visual </w:t>
      </w:r>
      <w:r w:rsidDel="00000000" w:rsidR="00000000" w:rsidRPr="00000000">
        <w:rPr>
          <w:rFonts w:ascii="Arial" w:cs="Arial" w:eastAsia="Arial" w:hAnsi="Arial"/>
          <w:b w:val="1"/>
          <w:bCs w:val="1"/>
          <w:sz w:val="36"/>
          <w:szCs w:val="36"/>
          <w:rtl w:val="0"/>
        </w:rPr>
        <w:t xml:space="preserve">avances realizados</w:t>
      </w:r>
      <w:r w:rsidDel="00000000" w:rsidR="00000000" w:rsidRPr="00000000">
        <w:rPr>
          <w:rFonts w:ascii="Arial" w:cs="Arial" w:eastAsia="Arial" w:hAnsi="Arial"/>
          <w:b w:val="1"/>
          <w:bCs w:val="1"/>
          <w:color w:val="000000"/>
          <w:sz w:val="36"/>
          <w:szCs w:val="36"/>
          <w:vertAlign w:val="baseline"/>
          <w:rtl w:val="0"/>
        </w:rPr>
        <w:t xml:space="preserve"> (0</w:t>
      </w:r>
      <w:r w:rsidDel="00000000" w:rsidR="00000000" w:rsidRPr="00000000">
        <w:rPr>
          <w:rFonts w:ascii="Arial" w:cs="Arial" w:eastAsia="Arial" w:hAnsi="Arial"/>
          <w:b w:val="1"/>
          <w:bCs w:val="1"/>
          <w:sz w:val="36"/>
          <w:szCs w:val="36"/>
          <w:rtl w:val="0"/>
        </w:rPr>
        <w:t xml:space="preserve">5</w:t>
      </w:r>
      <w:r w:rsidDel="00000000" w:rsidR="00000000" w:rsidRPr="00000000">
        <w:rPr>
          <w:rFonts w:ascii="Arial" w:cs="Arial" w:eastAsia="Arial" w:hAnsi="Arial"/>
          <w:b w:val="1"/>
          <w:bCs w:val="1"/>
          <w:color w:val="000000"/>
          <w:sz w:val="36"/>
          <w:szCs w:val="36"/>
          <w:vertAlign w:val="baseline"/>
          <w:rtl w:val="0"/>
        </w:rPr>
        <w:t xml:space="preserve">/10/2026)</w:t>
      </w:r>
      <w:r w:rsidDel="00000000" w:rsidR="00000000" w:rsidRPr="00000000">
        <w:rPr>
          <w:rtl w:val="0"/>
        </w:rPr>
      </w:r>
    </w:p>
    <w:p w:rsidR="00000000" w:rsidDel="00000000" w:rsidP="00000000" w:rsidRDefault="00000000" w:rsidRPr="00000000" w14:paraId="00000040">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Pr>
        <w:drawing>
          <wp:inline distB="114300" distT="114300" distL="114300" distR="114300">
            <wp:extent cx="4583367" cy="2077469"/>
            <wp:effectExtent b="0" l="0" r="0" t="0"/>
            <wp:docPr id="103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83367" cy="207746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Pr>
        <w:drawing>
          <wp:inline distB="114300" distT="114300" distL="114300" distR="114300">
            <wp:extent cx="4811713" cy="2176589"/>
            <wp:effectExtent b="0" l="0" r="0" t="0"/>
            <wp:docPr id="103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11713" cy="217658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ind w:left="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sz w:val="20"/>
          <w:szCs w:val="20"/>
        </w:rPr>
        <w:drawing>
          <wp:inline distB="114300" distT="114300" distL="114300" distR="114300">
            <wp:extent cx="4847754" cy="1964831"/>
            <wp:effectExtent b="0" l="0" r="0" t="0"/>
            <wp:docPr id="103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47754" cy="1964831"/>
                    </a:xfrm>
                    <a:prstGeom prst="rect"/>
                    <a:ln/>
                  </pic:spPr>
                </pic:pic>
              </a:graphicData>
            </a:graphic>
          </wp:inline>
        </w:drawing>
      </w:r>
      <w:r w:rsidDel="00000000" w:rsidR="00000000" w:rsidRPr="00000000">
        <w:rPr>
          <w:rtl w:val="0"/>
        </w:rPr>
      </w:r>
    </w:p>
    <w:sectPr>
      <w:headerReference r:id="rId12"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103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103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03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03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8ZZEYVYa3bX+UFMAkTYp3nzwA==">CgMxLjA4AHIhMUY1Z2dELTFabWlKNUM3TEhLdWhZWmlKNUVCcTh2RWhj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