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ACTA DE REUNIÓN KICK OFF</w:t>
      </w:r>
    </w:p>
    <w:p>
      <w:pPr>
        <w:jc w:val="center"/>
      </w:pPr>
      <w:r>
        <w:rPr>
          <w:b/>
          <w:color w:val="1F3A68"/>
          <w:sz w:val="26"/>
        </w:rPr>
        <w:t>Kick Off Semanal — Semana 6 — Proyecto CompraMas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26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Fecha: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12 de septiembre de 2026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inicio: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10:00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Lugar: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Virtual (Google Meet / Discord)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término: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11:00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Tipo reunión: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Grupal — Virtual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N° Acta: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003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103"/>
        <w:gridCol w:w="1417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510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Funciones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Asistencia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app mobile, base de datos e infraestructura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ecommerce web (cliente y proveedor) y diseño UX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backend/API y página administradora; registro de actas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</w:tbl>
    <w:p/>
    <w:p>
      <w:r>
        <w:rPr>
          <w:b/>
          <w:color w:val="1F3A68"/>
          <w:sz w:val="24"/>
        </w:rPr>
        <w:t>1.  Agenda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839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Revisión de compromisos del Acta 002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Revisión del documento de requerimientos y diagrama de casos de uso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Revisión del modelo de base de datos v1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Cierre de la documentación de diseño de la Fase 1</w:t>
            </w:r>
          </w:p>
        </w:tc>
      </w:tr>
    </w:tbl>
    <w:p/>
    <w:p>
      <w:r>
        <w:rPr>
          <w:b/>
          <w:color w:val="1F3A68"/>
          <w:sz w:val="24"/>
        </w:rPr>
        <w:t>2.  Desarrollo de la Reunión</w:t>
      </w:r>
    </w:p>
    <w:p>
      <w:pPr>
        <w:pStyle w:val="ListBullet"/>
      </w:pPr>
      <w:r>
        <w:rPr>
          <w:sz w:val="20"/>
        </w:rPr>
        <w:t>Se valida el documento de requerimientos v1; se agregan requerimientos no funcionales de seguridad (roles y permisos) y rendimiento.</w:t>
      </w:r>
    </w:p>
    <w:p>
      <w:pPr>
        <w:pStyle w:val="ListBullet"/>
      </w:pPr>
      <w:r>
        <w:rPr>
          <w:sz w:val="20"/>
        </w:rPr>
        <w:t>Se revisa el diagrama de casos de uso con los cuatro actores de negocio (cliente, proveedor, administrador, encargado de liquidaciones).</w:t>
      </w:r>
    </w:p>
    <w:p>
      <w:pPr>
        <w:pStyle w:val="ListBullet"/>
      </w:pPr>
      <w:r>
        <w:rPr>
          <w:sz w:val="20"/>
        </w:rPr>
        <w:t>Se presenta el modelo de base de datos v1 (Modelo de BDD.drawio): productos maestros, ofertas por proveedor, carro, orden y suborden por proveedor.</w:t>
      </w:r>
    </w:p>
    <w:p>
      <w:pPr>
        <w:pStyle w:val="ListBullet"/>
      </w:pPr>
      <w:r>
        <w:rPr>
          <w:sz w:val="20"/>
        </w:rPr>
        <w:t>Se acuerda que la orden de compra es única para el cliente y se divide en subórdenes por proveedor para despacho y liquidación.</w:t>
      </w:r>
    </w:p>
    <w:p>
      <w:pPr>
        <w:pStyle w:val="ListBullet"/>
      </w:pPr>
      <w:r>
        <w:rPr>
          <w:sz w:val="20"/>
        </w:rPr>
        <w:t>Se consolidan los resultados de la encuesta y entrevistas como evidencia del levantamiento.</w:t>
      </w:r>
    </w:p>
    <w:p/>
    <w:p>
      <w:r>
        <w:rPr>
          <w:b/>
          <w:color w:val="1F3A68"/>
          <w:sz w:val="24"/>
        </w:rPr>
        <w:t>3.  Avance por Integrante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652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Avance reportado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Modelo de base de datos v1 en draw.io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Documento de requerimientos v1</w:t>
              <w:br/>
              <w:t>• Diagrama de casos de uso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Resumen de resultados de encuesta y entrevistas</w:t>
              <w:br/>
              <w:t>• Registro de actas en carpeta Minutas</w:t>
            </w:r>
          </w:p>
        </w:tc>
      </w:tr>
    </w:tbl>
    <w:p/>
    <w:p>
      <w:r>
        <w:rPr>
          <w:b/>
          <w:color w:val="1F3A68"/>
          <w:sz w:val="24"/>
        </w:rPr>
        <w:t>4.  Acuerdos y Compromisos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273"/>
        <w:gridCol w:w="1701"/>
        <w:gridCol w:w="1417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27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Compromiso</w:t>
            </w:r>
          </w:p>
        </w:tc>
        <w:tc>
          <w:tcPr>
            <w:tcW w:type="dxa" w:w="170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Elaborar diagrama de clases del dominio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19-09-2026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Elaborar diagramas de actividad de los flujos compra y publicación de oferta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19-09-2026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Proponer arquitectura técnica y stack del proyecto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19-09-2026</w:t>
            </w:r>
          </w:p>
        </w:tc>
      </w:tr>
    </w:tbl>
    <w:p/>
    <w:p>
      <w:r>
        <w:rPr>
          <w:b/>
          <w:color w:val="1F3A68"/>
          <w:sz w:val="24"/>
        </w:rPr>
        <w:t>5.  Próxima Reunión</w:t>
      </w:r>
    </w:p>
    <w:p>
      <w:r>
        <w:t>Jueves 17 de septiembre de 2026, 19:00 hrs — Virtual (se adelanta por Fiestas Patrias)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Firma / Conformidad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