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91C1" w14:textId="37B768BB" w:rsidR="0077546E" w:rsidRPr="0077546E" w:rsidRDefault="009B3D92" w:rsidP="0077546E">
      <w:r w:rsidRPr="009B3D92">
        <w:rPr>
          <w:b/>
          <w:bCs/>
          <w:color w:val="FF0000"/>
        </w:rPr>
        <w:t xml:space="preserve">Yassine </w:t>
      </w:r>
      <w:r w:rsidR="0077546E" w:rsidRPr="0077546E">
        <w:rPr>
          <w:b/>
          <w:bCs/>
        </w:rPr>
        <w:t>Slides 1 &amp; 2 : Introduction et définition des termes</w:t>
      </w:r>
    </w:p>
    <w:p w14:paraId="1BA497E5" w14:textId="4C0C0034" w:rsidR="0077546E" w:rsidRPr="0077546E" w:rsidRDefault="0077546E" w:rsidP="0077546E">
      <w:r w:rsidRPr="0077546E">
        <w:t xml:space="preserve">Aujourd’hui, </w:t>
      </w:r>
      <w:r w:rsidR="002A221A">
        <w:t xml:space="preserve">on va </w:t>
      </w:r>
      <w:r w:rsidRPr="0077546E">
        <w:t xml:space="preserve">répondre à la question suivante : </w:t>
      </w:r>
      <w:r w:rsidRPr="0077546E">
        <w:rPr>
          <w:b/>
          <w:bCs/>
        </w:rPr>
        <w:t>« Les aires urbaines ayant un taux de logements sociaux plus élevé sont-elles plus ségrégées ? »</w:t>
      </w:r>
    </w:p>
    <w:p w14:paraId="1463EC8F" w14:textId="77777777" w:rsidR="0077546E" w:rsidRPr="0077546E" w:rsidRDefault="0077546E" w:rsidP="0077546E">
      <w:r w:rsidRPr="0077546E">
        <w:t>Commençons par définir les termes importants :</w:t>
      </w:r>
    </w:p>
    <w:p w14:paraId="5876DE8C" w14:textId="77777777" w:rsidR="0077546E" w:rsidRPr="0077546E" w:rsidRDefault="0077546E" w:rsidP="0077546E">
      <w:pPr>
        <w:numPr>
          <w:ilvl w:val="0"/>
          <w:numId w:val="5"/>
        </w:numPr>
      </w:pPr>
      <w:r w:rsidRPr="0077546E">
        <w:t xml:space="preserve">Une </w:t>
      </w:r>
      <w:r w:rsidRPr="0077546E">
        <w:rPr>
          <w:b/>
          <w:bCs/>
        </w:rPr>
        <w:t>aire urbaine</w:t>
      </w:r>
      <w:r w:rsidRPr="0077546E">
        <w:t xml:space="preserve"> désigne un espace constitué d’une ville-centre et de sa banlieue, où se concentre la population et l’emploi.</w:t>
      </w:r>
    </w:p>
    <w:p w14:paraId="63448E54" w14:textId="77777777" w:rsidR="0077546E" w:rsidRPr="0077546E" w:rsidRDefault="0077546E" w:rsidP="0077546E">
      <w:pPr>
        <w:numPr>
          <w:ilvl w:val="0"/>
          <w:numId w:val="5"/>
        </w:numPr>
      </w:pPr>
      <w:r w:rsidRPr="0077546E">
        <w:t xml:space="preserve">Le </w:t>
      </w:r>
      <w:r w:rsidRPr="0077546E">
        <w:rPr>
          <w:b/>
          <w:bCs/>
        </w:rPr>
        <w:t>logement social</w:t>
      </w:r>
      <w:r w:rsidRPr="0077546E">
        <w:t xml:space="preserve"> est un logement à loyer modéré attribué à des ménages modestes, souvent situé dans des quartiers spécifiques.</w:t>
      </w:r>
    </w:p>
    <w:p w14:paraId="581514D1" w14:textId="77777777" w:rsidR="0077546E" w:rsidRPr="0077546E" w:rsidRDefault="0077546E" w:rsidP="0077546E">
      <w:pPr>
        <w:numPr>
          <w:ilvl w:val="0"/>
          <w:numId w:val="5"/>
        </w:numPr>
      </w:pPr>
      <w:r w:rsidRPr="0077546E">
        <w:t xml:space="preserve">La </w:t>
      </w:r>
      <w:r w:rsidRPr="0077546E">
        <w:rPr>
          <w:b/>
          <w:bCs/>
        </w:rPr>
        <w:t>ségrégation urbaine</w:t>
      </w:r>
      <w:r w:rsidRPr="0077546E">
        <w:t xml:space="preserve"> désigne la séparation spatiale entre groupes sociaux, souvent selon le revenu, le niveau d’éducation ou l’origine. Elle peut être mesurée par des indices comme celui de Duncan.</w:t>
      </w:r>
    </w:p>
    <w:p w14:paraId="3BCC69C5" w14:textId="77777777" w:rsidR="0077546E" w:rsidRPr="0077546E" w:rsidRDefault="0077546E" w:rsidP="0077546E">
      <w:r w:rsidRPr="0077546E">
        <w:t>La question est donc de savoir si une plus grande présence de logements sociaux dans une aire urbaine favorise cette séparation, ou si d’autres facteurs interviennent.</w:t>
      </w:r>
    </w:p>
    <w:p w14:paraId="2C028E39" w14:textId="77777777" w:rsidR="0077546E" w:rsidRPr="0077546E" w:rsidRDefault="00000000" w:rsidP="0077546E">
      <w:r>
        <w:pict w14:anchorId="12DE7B51">
          <v:rect id="_x0000_i1025" style="width:0;height:1.5pt" o:hralign="center" o:hrstd="t" o:hr="t" fillcolor="#a0a0a0" stroked="f"/>
        </w:pict>
      </w:r>
    </w:p>
    <w:p w14:paraId="7916EA82" w14:textId="2D043597" w:rsidR="0077546E" w:rsidRPr="0077546E" w:rsidRDefault="009B3D92" w:rsidP="0077546E">
      <w:r w:rsidRPr="009B3D92">
        <w:rPr>
          <w:b/>
          <w:bCs/>
          <w:color w:val="00B050"/>
        </w:rPr>
        <w:t xml:space="preserve">Ayman </w:t>
      </w:r>
      <w:r w:rsidR="0077546E" w:rsidRPr="0077546E">
        <w:rPr>
          <w:b/>
          <w:bCs/>
        </w:rPr>
        <w:t>Slide 3 : Contexte introductif</w:t>
      </w:r>
    </w:p>
    <w:p w14:paraId="7F2F7A34" w14:textId="77777777" w:rsidR="0077546E" w:rsidRPr="0077546E" w:rsidRDefault="0077546E" w:rsidP="0077546E">
      <w:r w:rsidRPr="0077546E">
        <w:t>Les politiques de logement social ont pour objectif de réduire les inégalités en facilitant l’accès au logement pour les ménages modestes.</w:t>
      </w:r>
    </w:p>
    <w:p w14:paraId="5B701C31" w14:textId="77777777" w:rsidR="0077546E" w:rsidRPr="0077546E" w:rsidRDefault="0077546E" w:rsidP="0077546E">
      <w:r w:rsidRPr="0077546E">
        <w:t>Pourtant, comme l’explique le cours, elles peuvent produire l’effet inverse si elles ne sont pas accompagnées d’une répartition équilibrée dans l’espace urbain.</w:t>
      </w:r>
    </w:p>
    <w:p w14:paraId="76F67504" w14:textId="77777777" w:rsidR="0077546E" w:rsidRPr="0077546E" w:rsidRDefault="0077546E" w:rsidP="0077546E">
      <w:r w:rsidRPr="0077546E">
        <w:t>La ségrégation socio-spatiale peut alors s’accentuer, avec des quartiers concentrant les difficultés sociales, et d'autres restant plus favorisés.</w:t>
      </w:r>
    </w:p>
    <w:p w14:paraId="67F405E6" w14:textId="77777777" w:rsidR="0077546E" w:rsidRPr="0077546E" w:rsidRDefault="00000000" w:rsidP="0077546E">
      <w:r>
        <w:pict w14:anchorId="7C2D7BDC">
          <v:rect id="_x0000_i1026" style="width:0;height:1.5pt" o:hralign="center" o:hrstd="t" o:hr="t" fillcolor="#a0a0a0" stroked="f"/>
        </w:pict>
      </w:r>
    </w:p>
    <w:p w14:paraId="179334AE" w14:textId="3BDA9FC4" w:rsidR="0077546E" w:rsidRPr="0077546E" w:rsidRDefault="009B3D92" w:rsidP="0077546E">
      <w:r w:rsidRPr="009B3D92">
        <w:rPr>
          <w:b/>
          <w:bCs/>
          <w:color w:val="00B050"/>
        </w:rPr>
        <w:t xml:space="preserve">Ayman </w:t>
      </w:r>
      <w:r w:rsidR="0077546E" w:rsidRPr="0077546E">
        <w:rPr>
          <w:b/>
          <w:bCs/>
        </w:rPr>
        <w:t>Slide 4 : Études existantes</w:t>
      </w:r>
    </w:p>
    <w:p w14:paraId="0558AED0" w14:textId="77777777" w:rsidR="0077546E" w:rsidRPr="0077546E" w:rsidRDefault="0077546E" w:rsidP="0077546E">
      <w:r w:rsidRPr="0077546E">
        <w:t>Plusieurs études économiques apportent des éléments de réponse pertinents :</w:t>
      </w:r>
    </w:p>
    <w:p w14:paraId="36370C7F" w14:textId="77777777" w:rsidR="0077546E" w:rsidRPr="0077546E" w:rsidRDefault="0077546E" w:rsidP="0077546E">
      <w:pPr>
        <w:numPr>
          <w:ilvl w:val="0"/>
          <w:numId w:val="6"/>
        </w:numPr>
      </w:pPr>
      <w:r w:rsidRPr="0077546E">
        <w:rPr>
          <w:b/>
          <w:bCs/>
        </w:rPr>
        <w:t xml:space="preserve">Goux et </w:t>
      </w:r>
      <w:proofErr w:type="spellStart"/>
      <w:r w:rsidRPr="0077546E">
        <w:rPr>
          <w:b/>
          <w:bCs/>
        </w:rPr>
        <w:t>Maurin</w:t>
      </w:r>
      <w:proofErr w:type="spellEnd"/>
      <w:r w:rsidRPr="0077546E">
        <w:rPr>
          <w:b/>
          <w:bCs/>
        </w:rPr>
        <w:t xml:space="preserve"> (2007)</w:t>
      </w:r>
      <w:r w:rsidRPr="0077546E">
        <w:t xml:space="preserve"> : dans le parc social, les effets de voisinage sont très marqués. Les enfants vivant dans des quartiers peu diplômés ont plus de risques de redoubler. Cela montre que la concentration de ménages en difficulté peut renforcer la ségrégation scolaire et sociale.</w:t>
      </w:r>
    </w:p>
    <w:p w14:paraId="78E7410B" w14:textId="77777777" w:rsidR="0077546E" w:rsidRPr="0077546E" w:rsidRDefault="0077546E" w:rsidP="0077546E">
      <w:pPr>
        <w:numPr>
          <w:ilvl w:val="0"/>
          <w:numId w:val="6"/>
        </w:numPr>
      </w:pPr>
      <w:r w:rsidRPr="0077546E">
        <w:rPr>
          <w:b/>
          <w:bCs/>
        </w:rPr>
        <w:t xml:space="preserve">Programme MTO (Chetty, </w:t>
      </w:r>
      <w:proofErr w:type="spellStart"/>
      <w:r w:rsidRPr="0077546E">
        <w:rPr>
          <w:b/>
          <w:bCs/>
        </w:rPr>
        <w:t>Hendren</w:t>
      </w:r>
      <w:proofErr w:type="spellEnd"/>
      <w:r w:rsidRPr="0077546E">
        <w:rPr>
          <w:b/>
          <w:bCs/>
        </w:rPr>
        <w:t>, Katz, 2015)</w:t>
      </w:r>
      <w:r w:rsidRPr="0077546E">
        <w:t xml:space="preserve"> : lorsqu’on reloge des familles à faibles revenus dans des quartiers moins pauvres, les enfants bénéficient de meilleures trajectoires à long terme (revenus, santé mentale, accès à l’université).</w:t>
      </w:r>
    </w:p>
    <w:p w14:paraId="5AB74C30" w14:textId="77777777" w:rsidR="0077546E" w:rsidRPr="0077546E" w:rsidRDefault="0077546E" w:rsidP="0077546E">
      <w:pPr>
        <w:numPr>
          <w:ilvl w:val="0"/>
          <w:numId w:val="6"/>
        </w:numPr>
      </w:pPr>
      <w:r w:rsidRPr="0077546E">
        <w:rPr>
          <w:b/>
          <w:bCs/>
        </w:rPr>
        <w:t>Indice de Duncan</w:t>
      </w:r>
      <w:r w:rsidRPr="0077546E">
        <w:t xml:space="preserve"> : permet de mesurer la ségrégation spatiale selon la répartition des populations. Un indice élevé traduit une forte concentration.</w:t>
      </w:r>
    </w:p>
    <w:p w14:paraId="44F2BDC1" w14:textId="77777777" w:rsidR="0077546E" w:rsidRPr="0077546E" w:rsidRDefault="0077546E" w:rsidP="0077546E">
      <w:r w:rsidRPr="0077546E">
        <w:lastRenderedPageBreak/>
        <w:t>Ces études confirment que les aires urbaines avec un taux de logements sociaux plus élevé peuvent aussi être celles où la ségrégation est la plus marquée, si ces logements sont mal répartis spatialement.</w:t>
      </w:r>
    </w:p>
    <w:p w14:paraId="55590B4C" w14:textId="07EE14DC" w:rsidR="0077546E" w:rsidRPr="0077546E" w:rsidRDefault="00000000" w:rsidP="0077546E">
      <w:r>
        <w:pict w14:anchorId="22EBCCE6">
          <v:rect id="_x0000_i1027" style="width:0;height:1.5pt" o:hralign="center" o:hrstd="t" o:hr="t" fillcolor="#a0a0a0" stroked="f"/>
        </w:pict>
      </w:r>
    </w:p>
    <w:p w14:paraId="541332DB" w14:textId="0E24C25C" w:rsidR="0077546E" w:rsidRPr="0077546E" w:rsidRDefault="009B3D92" w:rsidP="0077546E">
      <w:r w:rsidRPr="009B3D92">
        <w:rPr>
          <w:b/>
          <w:bCs/>
          <w:color w:val="548DD4" w:themeColor="text2" w:themeTint="99"/>
        </w:rPr>
        <w:t xml:space="preserve">Benjamin </w:t>
      </w:r>
      <w:r w:rsidR="0077546E" w:rsidRPr="0077546E">
        <w:rPr>
          <w:b/>
          <w:bCs/>
        </w:rPr>
        <w:t xml:space="preserve">Slide </w:t>
      </w:r>
      <w:r>
        <w:rPr>
          <w:b/>
          <w:bCs/>
        </w:rPr>
        <w:t>5</w:t>
      </w:r>
      <w:r w:rsidR="0077546E" w:rsidRPr="0077546E">
        <w:rPr>
          <w:b/>
          <w:bCs/>
        </w:rPr>
        <w:t xml:space="preserve"> : Données et méthode</w:t>
      </w:r>
    </w:p>
    <w:p w14:paraId="7F92EA00" w14:textId="77777777" w:rsidR="0077546E" w:rsidRPr="0077546E" w:rsidRDefault="0077546E" w:rsidP="0077546E">
      <w:r w:rsidRPr="0077546E">
        <w:t>Pour analyser le lien entre logement social et ségrégation socio-professionnelle, nous avons utilisé trois fichiers de l’INSEE :</w:t>
      </w:r>
    </w:p>
    <w:p w14:paraId="4227F82A" w14:textId="77777777" w:rsidR="0077546E" w:rsidRPr="0077546E" w:rsidRDefault="0077546E" w:rsidP="0077546E">
      <w:pPr>
        <w:numPr>
          <w:ilvl w:val="0"/>
          <w:numId w:val="8"/>
        </w:numPr>
      </w:pPr>
      <w:proofErr w:type="gramStart"/>
      <w:r w:rsidRPr="0077546E">
        <w:t>population</w:t>
      </w:r>
      <w:proofErr w:type="gramEnd"/>
      <w:r w:rsidRPr="0077546E">
        <w:t xml:space="preserve"> par </w:t>
      </w:r>
      <w:r w:rsidRPr="0077546E">
        <w:rPr>
          <w:b/>
          <w:bCs/>
        </w:rPr>
        <w:t>CSP</w:t>
      </w:r>
      <w:r w:rsidRPr="0077546E">
        <w:t xml:space="preserve"> ;</w:t>
      </w:r>
    </w:p>
    <w:p w14:paraId="126827F8" w14:textId="77777777" w:rsidR="0077546E" w:rsidRPr="0077546E" w:rsidRDefault="0077546E" w:rsidP="0077546E">
      <w:pPr>
        <w:numPr>
          <w:ilvl w:val="0"/>
          <w:numId w:val="8"/>
        </w:numPr>
      </w:pPr>
      <w:proofErr w:type="gramStart"/>
      <w:r w:rsidRPr="0077546E">
        <w:t>nombre</w:t>
      </w:r>
      <w:proofErr w:type="gramEnd"/>
      <w:r w:rsidRPr="0077546E">
        <w:t xml:space="preserve"> de </w:t>
      </w:r>
      <w:r w:rsidRPr="0077546E">
        <w:rPr>
          <w:b/>
          <w:bCs/>
        </w:rPr>
        <w:t>logements sociaux</w:t>
      </w:r>
      <w:r w:rsidRPr="0077546E">
        <w:t xml:space="preserve"> par commune ;</w:t>
      </w:r>
    </w:p>
    <w:p w14:paraId="40D21E39" w14:textId="77777777" w:rsidR="0077546E" w:rsidRPr="0077546E" w:rsidRDefault="0077546E" w:rsidP="0077546E">
      <w:pPr>
        <w:numPr>
          <w:ilvl w:val="0"/>
          <w:numId w:val="8"/>
        </w:numPr>
      </w:pPr>
      <w:proofErr w:type="gramStart"/>
      <w:r w:rsidRPr="0077546E">
        <w:t>table</w:t>
      </w:r>
      <w:proofErr w:type="gramEnd"/>
      <w:r w:rsidRPr="0077546E">
        <w:t xml:space="preserve"> de </w:t>
      </w:r>
      <w:r w:rsidRPr="0077546E">
        <w:rPr>
          <w:b/>
          <w:bCs/>
        </w:rPr>
        <w:t>correspondance géographique</w:t>
      </w:r>
      <w:r w:rsidRPr="0077546E">
        <w:t xml:space="preserve"> commune → AAV.</w:t>
      </w:r>
    </w:p>
    <w:p w14:paraId="57DE5556" w14:textId="77777777" w:rsidR="0077546E" w:rsidRPr="0077546E" w:rsidRDefault="0077546E" w:rsidP="0077546E">
      <w:r w:rsidRPr="0077546E">
        <w:t>Les taux de logements sociaux ont été calculés à partir du ratio logements sociaux / total logements, puis agrégés au niveau AAV.</w:t>
      </w:r>
    </w:p>
    <w:p w14:paraId="077C9BE9" w14:textId="77777777" w:rsidR="0077546E" w:rsidRPr="0077546E" w:rsidRDefault="0077546E" w:rsidP="0077546E">
      <w:r w:rsidRPr="0077546E">
        <w:t xml:space="preserve">Pour la ségrégation, nous avons créé un </w:t>
      </w:r>
      <w:r w:rsidRPr="0077546E">
        <w:rPr>
          <w:b/>
          <w:bCs/>
        </w:rPr>
        <w:t>indice d’homogénéité</w:t>
      </w:r>
      <w:r w:rsidRPr="0077546E">
        <w:t xml:space="preserve"> entre deux grands groupes sociaux :</w:t>
      </w:r>
    </w:p>
    <w:p w14:paraId="5276010D" w14:textId="77777777" w:rsidR="0077546E" w:rsidRPr="0077546E" w:rsidRDefault="0077546E" w:rsidP="0077546E">
      <w:pPr>
        <w:numPr>
          <w:ilvl w:val="0"/>
          <w:numId w:val="9"/>
        </w:numPr>
      </w:pPr>
      <w:proofErr w:type="gramStart"/>
      <w:r w:rsidRPr="0077546E">
        <w:t>cadres</w:t>
      </w:r>
      <w:proofErr w:type="gramEnd"/>
      <w:r w:rsidRPr="0077546E">
        <w:t>/artisans vs ouvriers/employés.</w:t>
      </w:r>
    </w:p>
    <w:p w14:paraId="14132D89" w14:textId="77777777" w:rsidR="0077546E" w:rsidRPr="0077546E" w:rsidRDefault="0077546E" w:rsidP="0077546E">
      <w:r w:rsidRPr="0077546E">
        <w:t>Nous avons ensuite :</w:t>
      </w:r>
    </w:p>
    <w:p w14:paraId="3EC6A421" w14:textId="77777777" w:rsidR="0077546E" w:rsidRPr="0077546E" w:rsidRDefault="0077546E" w:rsidP="0077546E">
      <w:pPr>
        <w:numPr>
          <w:ilvl w:val="0"/>
          <w:numId w:val="10"/>
        </w:numPr>
      </w:pPr>
      <w:proofErr w:type="gramStart"/>
      <w:r w:rsidRPr="0077546E">
        <w:t>filtré</w:t>
      </w:r>
      <w:proofErr w:type="gramEnd"/>
      <w:r w:rsidRPr="0077546E">
        <w:t xml:space="preserve"> les valeurs extrêmes (99e percentile),</w:t>
      </w:r>
    </w:p>
    <w:p w14:paraId="65936B24" w14:textId="77777777" w:rsidR="0077546E" w:rsidRPr="0077546E" w:rsidRDefault="0077546E" w:rsidP="0077546E">
      <w:pPr>
        <w:numPr>
          <w:ilvl w:val="0"/>
          <w:numId w:val="10"/>
        </w:numPr>
      </w:pPr>
      <w:proofErr w:type="gramStart"/>
      <w:r w:rsidRPr="0077546E">
        <w:t>visualisé</w:t>
      </w:r>
      <w:proofErr w:type="gramEnd"/>
      <w:r w:rsidRPr="0077546E">
        <w:t xml:space="preserve"> les résultats via </w:t>
      </w:r>
      <w:r w:rsidRPr="0077546E">
        <w:rPr>
          <w:b/>
          <w:bCs/>
        </w:rPr>
        <w:t>nuages de points + droites de tendance</w:t>
      </w:r>
      <w:r w:rsidRPr="0077546E">
        <w:t>,</w:t>
      </w:r>
    </w:p>
    <w:p w14:paraId="63822628" w14:textId="77777777" w:rsidR="0077546E" w:rsidRPr="0077546E" w:rsidRDefault="0077546E" w:rsidP="0077546E">
      <w:pPr>
        <w:numPr>
          <w:ilvl w:val="0"/>
          <w:numId w:val="10"/>
        </w:numPr>
      </w:pPr>
      <w:proofErr w:type="gramStart"/>
      <w:r w:rsidRPr="0077546E">
        <w:t>calculé</w:t>
      </w:r>
      <w:proofErr w:type="gramEnd"/>
      <w:r w:rsidRPr="0077546E">
        <w:t xml:space="preserve"> le </w:t>
      </w:r>
      <w:r w:rsidRPr="0077546E">
        <w:rPr>
          <w:b/>
          <w:bCs/>
        </w:rPr>
        <w:t>coefficient de corrélation linéaire (r)</w:t>
      </w:r>
      <w:r w:rsidRPr="0077546E">
        <w:t>.</w:t>
      </w:r>
    </w:p>
    <w:p w14:paraId="12FEC3D2" w14:textId="77777777" w:rsidR="0077546E" w:rsidRPr="0077546E" w:rsidRDefault="00000000" w:rsidP="0077546E">
      <w:r>
        <w:pict w14:anchorId="4B205604">
          <v:rect id="_x0000_i1028" style="width:0;height:1.5pt" o:hralign="center" o:hrstd="t" o:hr="t" fillcolor="#a0a0a0" stroked="f"/>
        </w:pict>
      </w:r>
    </w:p>
    <w:p w14:paraId="52AB095C" w14:textId="0FC0393B" w:rsidR="0077546E" w:rsidRPr="0077546E" w:rsidRDefault="009B3D92" w:rsidP="0077546E">
      <w:r w:rsidRPr="009B3D92">
        <w:rPr>
          <w:b/>
          <w:bCs/>
          <w:color w:val="E36C0A" w:themeColor="accent6" w:themeShade="BF"/>
        </w:rPr>
        <w:t xml:space="preserve">William </w:t>
      </w:r>
      <w:r w:rsidR="0077546E" w:rsidRPr="0077546E">
        <w:rPr>
          <w:b/>
          <w:bCs/>
        </w:rPr>
        <w:t xml:space="preserve">Slides </w:t>
      </w:r>
      <w:r>
        <w:rPr>
          <w:b/>
          <w:bCs/>
        </w:rPr>
        <w:t>6</w:t>
      </w:r>
      <w:r w:rsidR="0077546E" w:rsidRPr="0077546E">
        <w:rPr>
          <w:b/>
          <w:bCs/>
        </w:rPr>
        <w:t>-</w:t>
      </w:r>
      <w:r>
        <w:rPr>
          <w:b/>
          <w:bCs/>
        </w:rPr>
        <w:t>7</w:t>
      </w:r>
      <w:r w:rsidR="0077546E" w:rsidRPr="0077546E">
        <w:rPr>
          <w:b/>
          <w:bCs/>
        </w:rPr>
        <w:t xml:space="preserve"> : Analyse par groupe social</w:t>
      </w:r>
    </w:p>
    <w:p w14:paraId="0692DF80" w14:textId="77777777" w:rsidR="0077546E" w:rsidRPr="0077546E" w:rsidRDefault="0077546E" w:rsidP="0077546E">
      <w:r w:rsidRPr="0077546E">
        <w:rPr>
          <w:b/>
          <w:bCs/>
        </w:rPr>
        <w:t>Cadres + Chefs d’entreprise</w:t>
      </w:r>
    </w:p>
    <w:p w14:paraId="4B94D324" w14:textId="77777777" w:rsidR="0077546E" w:rsidRPr="0077546E" w:rsidRDefault="0077546E" w:rsidP="0077546E">
      <w:pPr>
        <w:numPr>
          <w:ilvl w:val="0"/>
          <w:numId w:val="11"/>
        </w:numPr>
      </w:pPr>
      <w:r w:rsidRPr="0077546E">
        <w:t xml:space="preserve">Résultat très faible : </w:t>
      </w:r>
      <w:r w:rsidRPr="0077546E">
        <w:rPr>
          <w:b/>
          <w:bCs/>
        </w:rPr>
        <w:t>R² = 0.0144</w:t>
      </w:r>
    </w:p>
    <w:p w14:paraId="2774FB46" w14:textId="77777777" w:rsidR="0077546E" w:rsidRPr="0077546E" w:rsidRDefault="0077546E" w:rsidP="0077546E">
      <w:pPr>
        <w:numPr>
          <w:ilvl w:val="0"/>
          <w:numId w:val="11"/>
        </w:numPr>
      </w:pPr>
      <w:r w:rsidRPr="0077546E">
        <w:t xml:space="preserve">→ Ce groupe n’est </w:t>
      </w:r>
      <w:r w:rsidRPr="0077546E">
        <w:rPr>
          <w:b/>
          <w:bCs/>
        </w:rPr>
        <w:t>pas influencé</w:t>
      </w:r>
      <w:r w:rsidRPr="0077546E">
        <w:t xml:space="preserve"> par la présence de logements sociaux.</w:t>
      </w:r>
    </w:p>
    <w:p w14:paraId="4DD8752F" w14:textId="77777777" w:rsidR="0077546E" w:rsidRPr="0077546E" w:rsidRDefault="0077546E" w:rsidP="0077546E">
      <w:r w:rsidRPr="0077546E">
        <w:rPr>
          <w:b/>
          <w:bCs/>
        </w:rPr>
        <w:t>Employés + Ouvriers</w:t>
      </w:r>
    </w:p>
    <w:p w14:paraId="0414743B" w14:textId="77777777" w:rsidR="0077546E" w:rsidRPr="0077546E" w:rsidRDefault="0077546E" w:rsidP="0077546E">
      <w:pPr>
        <w:numPr>
          <w:ilvl w:val="0"/>
          <w:numId w:val="12"/>
        </w:numPr>
      </w:pPr>
      <w:r w:rsidRPr="0077546E">
        <w:t xml:space="preserve">Légère tendance : </w:t>
      </w:r>
      <w:r w:rsidRPr="0077546E">
        <w:rPr>
          <w:b/>
          <w:bCs/>
        </w:rPr>
        <w:t>R² = 0.0441</w:t>
      </w:r>
    </w:p>
    <w:p w14:paraId="1FBB9AFB" w14:textId="77777777" w:rsidR="0077546E" w:rsidRPr="0077546E" w:rsidRDefault="0077546E" w:rsidP="0077546E">
      <w:pPr>
        <w:numPr>
          <w:ilvl w:val="0"/>
          <w:numId w:val="12"/>
        </w:numPr>
      </w:pPr>
      <w:r w:rsidRPr="0077546E">
        <w:t xml:space="preserve">→ Début de concentration visible, mais impact encore </w:t>
      </w:r>
      <w:r w:rsidRPr="0077546E">
        <w:rPr>
          <w:b/>
          <w:bCs/>
        </w:rPr>
        <w:t>modeste</w:t>
      </w:r>
      <w:r w:rsidRPr="0077546E">
        <w:t>.</w:t>
      </w:r>
    </w:p>
    <w:p w14:paraId="7B3554B7" w14:textId="77777777" w:rsidR="0077546E" w:rsidRPr="0077546E" w:rsidRDefault="00000000" w:rsidP="0077546E">
      <w:r>
        <w:pict w14:anchorId="3290B5B7">
          <v:rect id="_x0000_i1029" style="width:0;height:1.5pt" o:hralign="center" o:hrstd="t" o:hr="t" fillcolor="#a0a0a0" stroked="f"/>
        </w:pict>
      </w:r>
    </w:p>
    <w:p w14:paraId="47FFDFE6" w14:textId="728F2A2D" w:rsidR="0077546E" w:rsidRPr="0077546E" w:rsidRDefault="009B3D92" w:rsidP="0077546E">
      <w:r w:rsidRPr="009B3D92">
        <w:rPr>
          <w:b/>
          <w:bCs/>
          <w:color w:val="548DD4" w:themeColor="text2" w:themeTint="99"/>
        </w:rPr>
        <w:t xml:space="preserve">Benjamin </w:t>
      </w:r>
      <w:r w:rsidR="0077546E" w:rsidRPr="0077546E">
        <w:rPr>
          <w:b/>
          <w:bCs/>
        </w:rPr>
        <w:t xml:space="preserve">Slide </w:t>
      </w:r>
      <w:r>
        <w:rPr>
          <w:b/>
          <w:bCs/>
        </w:rPr>
        <w:t>8</w:t>
      </w:r>
      <w:r w:rsidR="0077546E" w:rsidRPr="0077546E">
        <w:rPr>
          <w:b/>
          <w:bCs/>
        </w:rPr>
        <w:t xml:space="preserve"> : Homogénéité sociale sur 700 AAV</w:t>
      </w:r>
    </w:p>
    <w:p w14:paraId="3E3D584A" w14:textId="77777777" w:rsidR="0077546E" w:rsidRPr="0077546E" w:rsidRDefault="0077546E" w:rsidP="0077546E">
      <w:pPr>
        <w:numPr>
          <w:ilvl w:val="0"/>
          <w:numId w:val="13"/>
        </w:numPr>
      </w:pPr>
      <w:r w:rsidRPr="0077546E">
        <w:t xml:space="preserve">Corrélation modérée : </w:t>
      </w:r>
      <w:r w:rsidRPr="0077546E">
        <w:rPr>
          <w:b/>
          <w:bCs/>
        </w:rPr>
        <w:t>r = 0.35</w:t>
      </w:r>
      <w:r w:rsidRPr="0077546E">
        <w:t xml:space="preserve">, </w:t>
      </w:r>
      <w:r w:rsidRPr="0077546E">
        <w:rPr>
          <w:b/>
          <w:bCs/>
        </w:rPr>
        <w:t>R² = 0.1225</w:t>
      </w:r>
    </w:p>
    <w:p w14:paraId="5270F1A3" w14:textId="77777777" w:rsidR="0077546E" w:rsidRPr="0077546E" w:rsidRDefault="0077546E" w:rsidP="0077546E">
      <w:pPr>
        <w:numPr>
          <w:ilvl w:val="0"/>
          <w:numId w:val="13"/>
        </w:numPr>
      </w:pPr>
      <w:r w:rsidRPr="0077546E">
        <w:lastRenderedPageBreak/>
        <w:t xml:space="preserve">→ Le taux de logements sociaux explique </w:t>
      </w:r>
      <w:r w:rsidRPr="0077546E">
        <w:rPr>
          <w:b/>
          <w:bCs/>
        </w:rPr>
        <w:t>environ 12 %</w:t>
      </w:r>
      <w:r w:rsidRPr="0077546E">
        <w:t xml:space="preserve"> de la ségrégation.</w:t>
      </w:r>
    </w:p>
    <w:p w14:paraId="51F2E37D" w14:textId="77777777" w:rsidR="0077546E" w:rsidRPr="0077546E" w:rsidRDefault="00000000" w:rsidP="0077546E">
      <w:r>
        <w:pict w14:anchorId="7497F449">
          <v:rect id="_x0000_i1030" style="width:0;height:1.5pt" o:hralign="center" o:hrstd="t" o:hr="t" fillcolor="#a0a0a0" stroked="f"/>
        </w:pict>
      </w:r>
    </w:p>
    <w:p w14:paraId="6E0E141D" w14:textId="617B6FDE" w:rsidR="0077546E" w:rsidRPr="0077546E" w:rsidRDefault="009B3D92" w:rsidP="0077546E">
      <w:r w:rsidRPr="009B3D92">
        <w:rPr>
          <w:b/>
          <w:bCs/>
          <w:color w:val="E36C0A" w:themeColor="accent6" w:themeShade="BF"/>
        </w:rPr>
        <w:t xml:space="preserve">William </w:t>
      </w:r>
      <w:r w:rsidR="0077546E" w:rsidRPr="0077546E">
        <w:rPr>
          <w:b/>
          <w:bCs/>
        </w:rPr>
        <w:t xml:space="preserve">Slide </w:t>
      </w:r>
      <w:r>
        <w:rPr>
          <w:b/>
          <w:bCs/>
        </w:rPr>
        <w:t>9</w:t>
      </w:r>
      <w:r w:rsidR="0077546E" w:rsidRPr="0077546E">
        <w:rPr>
          <w:b/>
          <w:bCs/>
        </w:rPr>
        <w:t xml:space="preserve"> : Faibles taux de logements sociaux</w:t>
      </w:r>
    </w:p>
    <w:p w14:paraId="2D269758" w14:textId="77777777" w:rsidR="0077546E" w:rsidRPr="0077546E" w:rsidRDefault="0077546E" w:rsidP="0077546E">
      <w:pPr>
        <w:numPr>
          <w:ilvl w:val="0"/>
          <w:numId w:val="14"/>
        </w:numPr>
      </w:pPr>
      <w:r w:rsidRPr="0077546E">
        <w:t xml:space="preserve">Top 100 AAV : </w:t>
      </w:r>
      <w:r w:rsidRPr="0077546E">
        <w:rPr>
          <w:b/>
          <w:bCs/>
        </w:rPr>
        <w:t>R² = 0.0256</w:t>
      </w:r>
    </w:p>
    <w:p w14:paraId="3C88D9B8" w14:textId="77777777" w:rsidR="0077546E" w:rsidRPr="0077546E" w:rsidRDefault="0077546E" w:rsidP="0077546E">
      <w:pPr>
        <w:numPr>
          <w:ilvl w:val="0"/>
          <w:numId w:val="14"/>
        </w:numPr>
      </w:pPr>
      <w:r w:rsidRPr="0077546E">
        <w:t xml:space="preserve">Top 300 AAV : </w:t>
      </w:r>
      <w:r w:rsidRPr="0077546E">
        <w:rPr>
          <w:b/>
          <w:bCs/>
        </w:rPr>
        <w:t>R² = 0.0576</w:t>
      </w:r>
    </w:p>
    <w:p w14:paraId="69153E02" w14:textId="77777777" w:rsidR="0077546E" w:rsidRPr="0077546E" w:rsidRDefault="0077546E" w:rsidP="0077546E">
      <w:pPr>
        <w:numPr>
          <w:ilvl w:val="0"/>
          <w:numId w:val="14"/>
        </w:numPr>
      </w:pPr>
      <w:r w:rsidRPr="0077546E">
        <w:t xml:space="preserve">→ Relation </w:t>
      </w:r>
      <w:r w:rsidRPr="0077546E">
        <w:rPr>
          <w:b/>
          <w:bCs/>
        </w:rPr>
        <w:t>quasi inexistante</w:t>
      </w:r>
      <w:r w:rsidRPr="0077546E">
        <w:t xml:space="preserve"> dans les zones peu dotées.</w:t>
      </w:r>
    </w:p>
    <w:p w14:paraId="6EF8CE95" w14:textId="77777777" w:rsidR="0077546E" w:rsidRPr="0077546E" w:rsidRDefault="00000000" w:rsidP="0077546E">
      <w:r>
        <w:pict w14:anchorId="04838750">
          <v:rect id="_x0000_i1031" style="width:0;height:1.5pt" o:hralign="center" o:hrstd="t" o:hr="t" fillcolor="#a0a0a0" stroked="f"/>
        </w:pict>
      </w:r>
    </w:p>
    <w:p w14:paraId="5A1A0DA2" w14:textId="53F7431E" w:rsidR="0077546E" w:rsidRPr="0077546E" w:rsidRDefault="009B3D92" w:rsidP="0077546E">
      <w:r w:rsidRPr="009B3D92">
        <w:rPr>
          <w:b/>
          <w:bCs/>
          <w:color w:val="548DD4" w:themeColor="text2" w:themeTint="99"/>
        </w:rPr>
        <w:t xml:space="preserve">Benjamin </w:t>
      </w:r>
      <w:r w:rsidR="0077546E" w:rsidRPr="0077546E">
        <w:rPr>
          <w:b/>
          <w:bCs/>
        </w:rPr>
        <w:t>Slide 1</w:t>
      </w:r>
      <w:r>
        <w:rPr>
          <w:b/>
          <w:bCs/>
        </w:rPr>
        <w:t>0</w:t>
      </w:r>
      <w:r w:rsidR="0077546E" w:rsidRPr="0077546E">
        <w:rPr>
          <w:b/>
          <w:bCs/>
        </w:rPr>
        <w:t xml:space="preserve"> : Hauts taux de logements sociaux</w:t>
      </w:r>
    </w:p>
    <w:p w14:paraId="3489E215" w14:textId="77777777" w:rsidR="0077546E" w:rsidRPr="0077546E" w:rsidRDefault="0077546E" w:rsidP="0077546E">
      <w:pPr>
        <w:numPr>
          <w:ilvl w:val="0"/>
          <w:numId w:val="15"/>
        </w:numPr>
      </w:pPr>
      <w:r w:rsidRPr="0077546E">
        <w:t xml:space="preserve">Top 100 AAV : </w:t>
      </w:r>
      <w:r w:rsidRPr="0077546E">
        <w:rPr>
          <w:b/>
          <w:bCs/>
        </w:rPr>
        <w:t>R² = 0.2304</w:t>
      </w:r>
    </w:p>
    <w:p w14:paraId="28B31E7D" w14:textId="77777777" w:rsidR="0077546E" w:rsidRPr="0077546E" w:rsidRDefault="0077546E" w:rsidP="0077546E">
      <w:pPr>
        <w:numPr>
          <w:ilvl w:val="0"/>
          <w:numId w:val="15"/>
        </w:numPr>
      </w:pPr>
      <w:r w:rsidRPr="0077546E">
        <w:t xml:space="preserve">Top 300 AAV : </w:t>
      </w:r>
      <w:r w:rsidRPr="0077546E">
        <w:rPr>
          <w:b/>
          <w:bCs/>
        </w:rPr>
        <w:t>R² = 0.1369</w:t>
      </w:r>
    </w:p>
    <w:p w14:paraId="7AA57999" w14:textId="77777777" w:rsidR="0077546E" w:rsidRPr="0077546E" w:rsidRDefault="0077546E" w:rsidP="0077546E">
      <w:pPr>
        <w:numPr>
          <w:ilvl w:val="0"/>
          <w:numId w:val="15"/>
        </w:numPr>
      </w:pPr>
      <w:r w:rsidRPr="0077546E">
        <w:t xml:space="preserve">→ Relation </w:t>
      </w:r>
      <w:r w:rsidRPr="0077546E">
        <w:rPr>
          <w:b/>
          <w:bCs/>
        </w:rPr>
        <w:t>beaucoup plus forte</w:t>
      </w:r>
      <w:r w:rsidRPr="0077546E">
        <w:t>, surtout dans les cas extrêmes.</w:t>
      </w:r>
    </w:p>
    <w:p w14:paraId="3936DAC5" w14:textId="77777777" w:rsidR="0077546E" w:rsidRPr="0077546E" w:rsidRDefault="00000000" w:rsidP="0077546E">
      <w:r>
        <w:pict w14:anchorId="44EAC607">
          <v:rect id="_x0000_i1032" style="width:0;height:1.5pt" o:hralign="center" o:hrstd="t" o:hr="t" fillcolor="#a0a0a0" stroked="f"/>
        </w:pict>
      </w:r>
    </w:p>
    <w:p w14:paraId="08737888" w14:textId="7C0C4137" w:rsidR="0077546E" w:rsidRPr="0077546E" w:rsidRDefault="009B3D92" w:rsidP="0077546E">
      <w:r w:rsidRPr="009B3D92">
        <w:rPr>
          <w:b/>
          <w:bCs/>
          <w:color w:val="E36C0A" w:themeColor="accent6" w:themeShade="BF"/>
        </w:rPr>
        <w:t xml:space="preserve">William </w:t>
      </w:r>
      <w:r w:rsidR="0077546E" w:rsidRPr="0077546E">
        <w:rPr>
          <w:b/>
          <w:bCs/>
        </w:rPr>
        <w:t>Slide 1</w:t>
      </w:r>
      <w:r>
        <w:rPr>
          <w:b/>
          <w:bCs/>
        </w:rPr>
        <w:t>1</w:t>
      </w:r>
      <w:r w:rsidR="0077546E" w:rsidRPr="0077546E">
        <w:rPr>
          <w:b/>
          <w:bCs/>
        </w:rPr>
        <w:t xml:space="preserve"> : Comparatif 600 vs 100 dernières AAV</w:t>
      </w:r>
    </w:p>
    <w:p w14:paraId="50E3BF63" w14:textId="77777777" w:rsidR="0077546E" w:rsidRPr="0077546E" w:rsidRDefault="0077546E" w:rsidP="0077546E">
      <w:pPr>
        <w:numPr>
          <w:ilvl w:val="0"/>
          <w:numId w:val="16"/>
        </w:numPr>
      </w:pPr>
      <w:r w:rsidRPr="0077546E">
        <w:t xml:space="preserve">600 premières : </w:t>
      </w:r>
      <w:r w:rsidRPr="0077546E">
        <w:rPr>
          <w:b/>
          <w:bCs/>
        </w:rPr>
        <w:t>R² = 0.0576</w:t>
      </w:r>
    </w:p>
    <w:p w14:paraId="4C322BD4" w14:textId="77777777" w:rsidR="0077546E" w:rsidRPr="0077546E" w:rsidRDefault="0077546E" w:rsidP="0077546E">
      <w:pPr>
        <w:numPr>
          <w:ilvl w:val="0"/>
          <w:numId w:val="16"/>
        </w:numPr>
      </w:pPr>
      <w:r w:rsidRPr="0077546E">
        <w:t xml:space="preserve">100 dernières : </w:t>
      </w:r>
      <w:r w:rsidRPr="0077546E">
        <w:rPr>
          <w:b/>
          <w:bCs/>
        </w:rPr>
        <w:t>R² = 0.2304</w:t>
      </w:r>
    </w:p>
    <w:p w14:paraId="3BC84F50" w14:textId="77777777" w:rsidR="0077546E" w:rsidRPr="0077546E" w:rsidRDefault="0077546E" w:rsidP="0077546E">
      <w:pPr>
        <w:numPr>
          <w:ilvl w:val="0"/>
          <w:numId w:val="16"/>
        </w:numPr>
      </w:pPr>
      <w:r w:rsidRPr="0077546E">
        <w:t xml:space="preserve">→ Dans les </w:t>
      </w:r>
      <w:proofErr w:type="spellStart"/>
      <w:r w:rsidRPr="0077546E">
        <w:t>aires</w:t>
      </w:r>
      <w:proofErr w:type="spellEnd"/>
      <w:r w:rsidRPr="0077546E">
        <w:t xml:space="preserve"> </w:t>
      </w:r>
      <w:r w:rsidRPr="0077546E">
        <w:rPr>
          <w:b/>
          <w:bCs/>
        </w:rPr>
        <w:t>les plus concernées</w:t>
      </w:r>
      <w:r w:rsidRPr="0077546E">
        <w:t xml:space="preserve"> par le logement social, la ségrégation est </w:t>
      </w:r>
      <w:r w:rsidRPr="0077546E">
        <w:rPr>
          <w:b/>
          <w:bCs/>
        </w:rPr>
        <w:t>nettement plus marquée</w:t>
      </w:r>
      <w:r w:rsidRPr="0077546E">
        <w:t>.</w:t>
      </w:r>
    </w:p>
    <w:p w14:paraId="0E978E1A" w14:textId="77777777" w:rsidR="0077546E" w:rsidRPr="0077546E" w:rsidRDefault="00000000" w:rsidP="0077546E">
      <w:r>
        <w:pict w14:anchorId="7DBBDCB2">
          <v:rect id="_x0000_i1033" style="width:0;height:1.5pt" o:hralign="center" o:hrstd="t" o:hr="t" fillcolor="#a0a0a0" stroked="f"/>
        </w:pict>
      </w:r>
    </w:p>
    <w:p w14:paraId="67332D58" w14:textId="076AE4F8" w:rsidR="0077546E" w:rsidRPr="0077546E" w:rsidRDefault="009B3D92" w:rsidP="0077546E">
      <w:r w:rsidRPr="009B3D92">
        <w:rPr>
          <w:b/>
          <w:bCs/>
          <w:color w:val="E36C0A" w:themeColor="accent6" w:themeShade="BF"/>
        </w:rPr>
        <w:t xml:space="preserve">William </w:t>
      </w:r>
      <w:r w:rsidR="0077546E" w:rsidRPr="0077546E">
        <w:rPr>
          <w:b/>
          <w:bCs/>
        </w:rPr>
        <w:t>Slide 1</w:t>
      </w:r>
      <w:r>
        <w:rPr>
          <w:b/>
          <w:bCs/>
        </w:rPr>
        <w:t>2</w:t>
      </w:r>
      <w:r w:rsidR="0077546E" w:rsidRPr="0077546E">
        <w:rPr>
          <w:b/>
          <w:bCs/>
        </w:rPr>
        <w:t xml:space="preserve"> : Limites de l’étude</w:t>
      </w:r>
    </w:p>
    <w:p w14:paraId="315F8820" w14:textId="77777777" w:rsidR="0077546E" w:rsidRPr="0077546E" w:rsidRDefault="0077546E" w:rsidP="0077546E">
      <w:pPr>
        <w:numPr>
          <w:ilvl w:val="0"/>
          <w:numId w:val="17"/>
        </w:numPr>
      </w:pPr>
      <w:r w:rsidRPr="0077546E">
        <w:rPr>
          <w:b/>
          <w:bCs/>
        </w:rPr>
        <w:t>Corrélation ≠ causalité</w:t>
      </w:r>
      <w:r w:rsidRPr="0077546E">
        <w:t xml:space="preserve"> : le lien statistique ne prouve pas une relation directe.</w:t>
      </w:r>
    </w:p>
    <w:p w14:paraId="38F5F078" w14:textId="77777777" w:rsidR="0077546E" w:rsidRPr="0077546E" w:rsidRDefault="0077546E" w:rsidP="0077546E">
      <w:pPr>
        <w:numPr>
          <w:ilvl w:val="0"/>
          <w:numId w:val="17"/>
        </w:numPr>
      </w:pPr>
      <w:r w:rsidRPr="0077546E">
        <w:rPr>
          <w:b/>
          <w:bCs/>
        </w:rPr>
        <w:t>Echelle large</w:t>
      </w:r>
      <w:r w:rsidRPr="0077546E">
        <w:t xml:space="preserve"> : les AAV peuvent masquer des disparités locales.</w:t>
      </w:r>
    </w:p>
    <w:p w14:paraId="4E16F1F3" w14:textId="77777777" w:rsidR="0077546E" w:rsidRPr="0077546E" w:rsidRDefault="0077546E" w:rsidP="0077546E">
      <w:pPr>
        <w:numPr>
          <w:ilvl w:val="0"/>
          <w:numId w:val="17"/>
        </w:numPr>
      </w:pPr>
      <w:r w:rsidRPr="0077546E">
        <w:rPr>
          <w:b/>
          <w:bCs/>
        </w:rPr>
        <w:t>Indice partiel</w:t>
      </w:r>
      <w:r w:rsidRPr="0077546E">
        <w:t xml:space="preserve"> : uniquement basé sur les CSP, pas les revenus ou l’origine.</w:t>
      </w:r>
    </w:p>
    <w:p w14:paraId="614CE69E" w14:textId="77777777" w:rsidR="0077546E" w:rsidRPr="0077546E" w:rsidRDefault="0077546E" w:rsidP="0077546E">
      <w:pPr>
        <w:numPr>
          <w:ilvl w:val="0"/>
          <w:numId w:val="17"/>
        </w:numPr>
      </w:pPr>
      <w:r w:rsidRPr="0077546E">
        <w:rPr>
          <w:b/>
          <w:bCs/>
        </w:rPr>
        <w:t>Pas de données spatiales fines</w:t>
      </w:r>
      <w:r w:rsidRPr="0077546E">
        <w:t xml:space="preserve"> : la concentration par quartier n’est pas visible.</w:t>
      </w:r>
    </w:p>
    <w:p w14:paraId="5E383874" w14:textId="77777777" w:rsidR="0077546E" w:rsidRPr="0077546E" w:rsidRDefault="0077546E" w:rsidP="0077546E">
      <w:pPr>
        <w:numPr>
          <w:ilvl w:val="0"/>
          <w:numId w:val="17"/>
        </w:numPr>
      </w:pPr>
      <w:r w:rsidRPr="0077546E">
        <w:rPr>
          <w:b/>
          <w:bCs/>
        </w:rPr>
        <w:t>Etude statique</w:t>
      </w:r>
      <w:r w:rsidRPr="0077546E">
        <w:t xml:space="preserve"> : ne prend pas en compte l’évolution temporelle ni les causalités inverses.</w:t>
      </w:r>
    </w:p>
    <w:p w14:paraId="2DDA9A0D" w14:textId="77777777" w:rsidR="0077546E" w:rsidRPr="0077546E" w:rsidRDefault="00000000" w:rsidP="0077546E">
      <w:r>
        <w:pict w14:anchorId="2B0E96EB">
          <v:rect id="_x0000_i1034" style="width:0;height:1.5pt" o:hralign="center" o:hrstd="t" o:hr="t" fillcolor="#a0a0a0" stroked="f"/>
        </w:pict>
      </w:r>
    </w:p>
    <w:p w14:paraId="3654AB62" w14:textId="3947D630" w:rsidR="0077546E" w:rsidRPr="0077546E" w:rsidRDefault="009B3D92" w:rsidP="0077546E">
      <w:r w:rsidRPr="009B3D92">
        <w:rPr>
          <w:b/>
          <w:bCs/>
          <w:color w:val="FF0000"/>
        </w:rPr>
        <w:t xml:space="preserve">Yassine </w:t>
      </w:r>
      <w:r w:rsidR="0077546E" w:rsidRPr="0077546E">
        <w:rPr>
          <w:b/>
          <w:bCs/>
        </w:rPr>
        <w:t>Slide 1</w:t>
      </w:r>
      <w:r>
        <w:rPr>
          <w:b/>
          <w:bCs/>
        </w:rPr>
        <w:t>3</w:t>
      </w:r>
      <w:r w:rsidR="0077546E" w:rsidRPr="0077546E">
        <w:rPr>
          <w:b/>
          <w:bCs/>
        </w:rPr>
        <w:t xml:space="preserve"> : Conclusion</w:t>
      </w:r>
    </w:p>
    <w:p w14:paraId="693F8D17" w14:textId="77777777" w:rsidR="0077546E" w:rsidRPr="0077546E" w:rsidRDefault="0077546E" w:rsidP="0077546E">
      <w:r w:rsidRPr="0077546E">
        <w:t xml:space="preserve">Notre étude visait à analyser le lien entre le </w:t>
      </w:r>
      <w:r w:rsidRPr="0077546E">
        <w:rPr>
          <w:b/>
          <w:bCs/>
        </w:rPr>
        <w:t>taux de logements sociaux</w:t>
      </w:r>
      <w:r w:rsidRPr="0077546E">
        <w:t xml:space="preserve"> dans les AAV françaises et le </w:t>
      </w:r>
      <w:r w:rsidRPr="0077546E">
        <w:rPr>
          <w:b/>
          <w:bCs/>
        </w:rPr>
        <w:t>niveau de ségrégation socio-professionnelle</w:t>
      </w:r>
      <w:r w:rsidRPr="0077546E">
        <w:t xml:space="preserve">, mesuré par un </w:t>
      </w:r>
      <w:r w:rsidRPr="0077546E">
        <w:rPr>
          <w:b/>
          <w:bCs/>
        </w:rPr>
        <w:t>indice d’homogénéité CSP</w:t>
      </w:r>
      <w:r w:rsidRPr="0077546E">
        <w:t>.</w:t>
      </w:r>
    </w:p>
    <w:p w14:paraId="461497ED" w14:textId="77777777" w:rsidR="0077546E" w:rsidRPr="0077546E" w:rsidRDefault="0077546E" w:rsidP="0077546E">
      <w:r w:rsidRPr="0077546E">
        <w:lastRenderedPageBreak/>
        <w:t xml:space="preserve">Les résultats montrent qu’il existe une </w:t>
      </w:r>
      <w:r w:rsidRPr="0077546E">
        <w:rPr>
          <w:b/>
          <w:bCs/>
        </w:rPr>
        <w:t>corrélation modérée à faible globalement (r = 0.35)</w:t>
      </w:r>
      <w:r w:rsidRPr="0077546E">
        <w:t xml:space="preserve">, mais </w:t>
      </w:r>
      <w:r w:rsidRPr="0077546E">
        <w:rPr>
          <w:b/>
          <w:bCs/>
        </w:rPr>
        <w:t>plus forte dans les zones les plus dotées</w:t>
      </w:r>
      <w:r w:rsidRPr="0077546E">
        <w:t xml:space="preserve"> (r = 0.48).</w:t>
      </w:r>
    </w:p>
    <w:p w14:paraId="1F154082" w14:textId="77777777" w:rsidR="0077546E" w:rsidRPr="0077546E" w:rsidRDefault="0077546E" w:rsidP="0077546E">
      <w:r w:rsidRPr="0077546E">
        <w:t>Les groupes sociaux ne sont pas tous concernés à la même échelle : les ouvriers/employés semblent plus sensibles à cette ségrégation spatiale que les cadres.</w:t>
      </w:r>
    </w:p>
    <w:p w14:paraId="0D5873CD" w14:textId="77777777" w:rsidR="0077546E" w:rsidRPr="0077546E" w:rsidRDefault="0077546E" w:rsidP="0077546E">
      <w:r w:rsidRPr="0077546E">
        <w:t xml:space="preserve">Cependant, la ségrégation urbaine est un </w:t>
      </w:r>
      <w:r w:rsidRPr="0077546E">
        <w:rPr>
          <w:b/>
          <w:bCs/>
        </w:rPr>
        <w:t>phénomène multifactoriel</w:t>
      </w:r>
      <w:r w:rsidRPr="0077546E">
        <w:t xml:space="preserve"> (foncier, mobilité, politiques locales...).</w:t>
      </w:r>
    </w:p>
    <w:p w14:paraId="155F3845" w14:textId="77777777" w:rsidR="0077546E" w:rsidRPr="0077546E" w:rsidRDefault="0077546E" w:rsidP="0077546E">
      <w:r w:rsidRPr="0077546E">
        <w:t xml:space="preserve">→ </w:t>
      </w:r>
      <w:r w:rsidRPr="0077546E">
        <w:rPr>
          <w:b/>
          <w:bCs/>
        </w:rPr>
        <w:t>Un taux élevé de logements sociaux semble favoriser une homogénéité sociale plus marquée</w:t>
      </w:r>
      <w:r w:rsidRPr="0077546E">
        <w:t>, surtout dans les cas extrêmes. Cette tendance mérite d’être approfondie par des données plus localisées et des variables complémentaires.</w:t>
      </w:r>
    </w:p>
    <w:p w14:paraId="0F34B49B" w14:textId="5B457676" w:rsidR="00BE78DE" w:rsidRPr="0077546E" w:rsidRDefault="00BE78DE" w:rsidP="0077546E"/>
    <w:sectPr w:rsidR="00BE78DE" w:rsidRPr="00775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E95"/>
    <w:multiLevelType w:val="multilevel"/>
    <w:tmpl w:val="4C5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90B6F"/>
    <w:multiLevelType w:val="multilevel"/>
    <w:tmpl w:val="C6D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02CD0"/>
    <w:multiLevelType w:val="multilevel"/>
    <w:tmpl w:val="BB1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55531"/>
    <w:multiLevelType w:val="multilevel"/>
    <w:tmpl w:val="E29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0399"/>
    <w:multiLevelType w:val="multilevel"/>
    <w:tmpl w:val="5D2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913EA"/>
    <w:multiLevelType w:val="multilevel"/>
    <w:tmpl w:val="39F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80A23"/>
    <w:multiLevelType w:val="multilevel"/>
    <w:tmpl w:val="0A1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4106"/>
    <w:multiLevelType w:val="multilevel"/>
    <w:tmpl w:val="9AD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033F7"/>
    <w:multiLevelType w:val="multilevel"/>
    <w:tmpl w:val="782C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622BF"/>
    <w:multiLevelType w:val="multilevel"/>
    <w:tmpl w:val="4EC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26D31"/>
    <w:multiLevelType w:val="multilevel"/>
    <w:tmpl w:val="755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E1"/>
    <w:multiLevelType w:val="multilevel"/>
    <w:tmpl w:val="4C6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B32B9"/>
    <w:multiLevelType w:val="multilevel"/>
    <w:tmpl w:val="412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C62FC"/>
    <w:multiLevelType w:val="multilevel"/>
    <w:tmpl w:val="5BF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EED"/>
    <w:multiLevelType w:val="multilevel"/>
    <w:tmpl w:val="8E9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762A2"/>
    <w:multiLevelType w:val="multilevel"/>
    <w:tmpl w:val="53B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405BF"/>
    <w:multiLevelType w:val="multilevel"/>
    <w:tmpl w:val="49BE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232734">
    <w:abstractNumId w:val="1"/>
  </w:num>
  <w:num w:numId="2" w16cid:durableId="964893306">
    <w:abstractNumId w:val="14"/>
  </w:num>
  <w:num w:numId="3" w16cid:durableId="1196650308">
    <w:abstractNumId w:val="16"/>
  </w:num>
  <w:num w:numId="4" w16cid:durableId="1078479450">
    <w:abstractNumId w:val="13"/>
  </w:num>
  <w:num w:numId="5" w16cid:durableId="378936131">
    <w:abstractNumId w:val="2"/>
  </w:num>
  <w:num w:numId="6" w16cid:durableId="1309093101">
    <w:abstractNumId w:val="0"/>
  </w:num>
  <w:num w:numId="7" w16cid:durableId="1646087205">
    <w:abstractNumId w:val="4"/>
  </w:num>
  <w:num w:numId="8" w16cid:durableId="438834265">
    <w:abstractNumId w:val="11"/>
  </w:num>
  <w:num w:numId="9" w16cid:durableId="1709454021">
    <w:abstractNumId w:val="12"/>
  </w:num>
  <w:num w:numId="10" w16cid:durableId="240870624">
    <w:abstractNumId w:val="15"/>
  </w:num>
  <w:num w:numId="11" w16cid:durableId="2090879923">
    <w:abstractNumId w:val="5"/>
  </w:num>
  <w:num w:numId="12" w16cid:durableId="589582336">
    <w:abstractNumId w:val="9"/>
  </w:num>
  <w:num w:numId="13" w16cid:durableId="414786070">
    <w:abstractNumId w:val="10"/>
  </w:num>
  <w:num w:numId="14" w16cid:durableId="1800495202">
    <w:abstractNumId w:val="8"/>
  </w:num>
  <w:num w:numId="15" w16cid:durableId="368997961">
    <w:abstractNumId w:val="7"/>
  </w:num>
  <w:num w:numId="16" w16cid:durableId="2063752559">
    <w:abstractNumId w:val="3"/>
  </w:num>
  <w:num w:numId="17" w16cid:durableId="197546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DE"/>
    <w:rsid w:val="00001705"/>
    <w:rsid w:val="002436D8"/>
    <w:rsid w:val="002A221A"/>
    <w:rsid w:val="005A1FE6"/>
    <w:rsid w:val="00654D08"/>
    <w:rsid w:val="0068334F"/>
    <w:rsid w:val="0077546E"/>
    <w:rsid w:val="00890426"/>
    <w:rsid w:val="008979DB"/>
    <w:rsid w:val="009B3D92"/>
    <w:rsid w:val="00BD0BAF"/>
    <w:rsid w:val="00BE78DE"/>
    <w:rsid w:val="00F973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1554"/>
  <w15:chartTrackingRefBased/>
  <w15:docId w15:val="{F67C4A69-1760-4638-8DE2-785BD4F7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78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BE78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BE78D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BE78D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BE78D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BE78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78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78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78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78D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BE78D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BE78D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BE78D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BE78D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BE78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78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78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78DE"/>
    <w:rPr>
      <w:rFonts w:eastAsiaTheme="majorEastAsia" w:cstheme="majorBidi"/>
      <w:color w:val="272727" w:themeColor="text1" w:themeTint="D8"/>
    </w:rPr>
  </w:style>
  <w:style w:type="paragraph" w:styleId="Titre">
    <w:name w:val="Title"/>
    <w:basedOn w:val="Normal"/>
    <w:next w:val="Normal"/>
    <w:link w:val="TitreCar"/>
    <w:uiPriority w:val="10"/>
    <w:qFormat/>
    <w:rsid w:val="00BE7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78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78D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78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78D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E78DE"/>
    <w:rPr>
      <w:i/>
      <w:iCs/>
      <w:color w:val="404040" w:themeColor="text1" w:themeTint="BF"/>
    </w:rPr>
  </w:style>
  <w:style w:type="paragraph" w:styleId="Paragraphedeliste">
    <w:name w:val="List Paragraph"/>
    <w:basedOn w:val="Normal"/>
    <w:uiPriority w:val="34"/>
    <w:qFormat/>
    <w:rsid w:val="00BE78DE"/>
    <w:pPr>
      <w:ind w:left="720"/>
      <w:contextualSpacing/>
    </w:pPr>
  </w:style>
  <w:style w:type="character" w:styleId="Accentuationintense">
    <w:name w:val="Intense Emphasis"/>
    <w:basedOn w:val="Policepardfaut"/>
    <w:uiPriority w:val="21"/>
    <w:qFormat/>
    <w:rsid w:val="00BE78DE"/>
    <w:rPr>
      <w:i/>
      <w:iCs/>
      <w:color w:val="365F91" w:themeColor="accent1" w:themeShade="BF"/>
    </w:rPr>
  </w:style>
  <w:style w:type="paragraph" w:styleId="Citationintense">
    <w:name w:val="Intense Quote"/>
    <w:basedOn w:val="Normal"/>
    <w:next w:val="Normal"/>
    <w:link w:val="CitationintenseCar"/>
    <w:uiPriority w:val="30"/>
    <w:qFormat/>
    <w:rsid w:val="00BE78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BE78DE"/>
    <w:rPr>
      <w:i/>
      <w:iCs/>
      <w:color w:val="365F91" w:themeColor="accent1" w:themeShade="BF"/>
    </w:rPr>
  </w:style>
  <w:style w:type="character" w:styleId="Rfrenceintense">
    <w:name w:val="Intense Reference"/>
    <w:basedOn w:val="Policepardfaut"/>
    <w:uiPriority w:val="32"/>
    <w:qFormat/>
    <w:rsid w:val="00BE78D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76573">
      <w:bodyDiv w:val="1"/>
      <w:marLeft w:val="0"/>
      <w:marRight w:val="0"/>
      <w:marTop w:val="0"/>
      <w:marBottom w:val="0"/>
      <w:divBdr>
        <w:top w:val="none" w:sz="0" w:space="0" w:color="auto"/>
        <w:left w:val="none" w:sz="0" w:space="0" w:color="auto"/>
        <w:bottom w:val="none" w:sz="0" w:space="0" w:color="auto"/>
        <w:right w:val="none" w:sz="0" w:space="0" w:color="auto"/>
      </w:divBdr>
    </w:div>
    <w:div w:id="470363987">
      <w:bodyDiv w:val="1"/>
      <w:marLeft w:val="0"/>
      <w:marRight w:val="0"/>
      <w:marTop w:val="0"/>
      <w:marBottom w:val="0"/>
      <w:divBdr>
        <w:top w:val="none" w:sz="0" w:space="0" w:color="auto"/>
        <w:left w:val="none" w:sz="0" w:space="0" w:color="auto"/>
        <w:bottom w:val="none" w:sz="0" w:space="0" w:color="auto"/>
        <w:right w:val="none" w:sz="0" w:space="0" w:color="auto"/>
      </w:divBdr>
      <w:divsChild>
        <w:div w:id="1247107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0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56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373867">
      <w:bodyDiv w:val="1"/>
      <w:marLeft w:val="0"/>
      <w:marRight w:val="0"/>
      <w:marTop w:val="0"/>
      <w:marBottom w:val="0"/>
      <w:divBdr>
        <w:top w:val="none" w:sz="0" w:space="0" w:color="auto"/>
        <w:left w:val="none" w:sz="0" w:space="0" w:color="auto"/>
        <w:bottom w:val="none" w:sz="0" w:space="0" w:color="auto"/>
        <w:right w:val="none" w:sz="0" w:space="0" w:color="auto"/>
      </w:divBdr>
      <w:divsChild>
        <w:div w:id="213301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260624">
      <w:bodyDiv w:val="1"/>
      <w:marLeft w:val="0"/>
      <w:marRight w:val="0"/>
      <w:marTop w:val="0"/>
      <w:marBottom w:val="0"/>
      <w:divBdr>
        <w:top w:val="none" w:sz="0" w:space="0" w:color="auto"/>
        <w:left w:val="none" w:sz="0" w:space="0" w:color="auto"/>
        <w:bottom w:val="none" w:sz="0" w:space="0" w:color="auto"/>
        <w:right w:val="none" w:sz="0" w:space="0" w:color="auto"/>
      </w:divBdr>
      <w:divsChild>
        <w:div w:id="205794925">
          <w:marLeft w:val="0"/>
          <w:marRight w:val="0"/>
          <w:marTop w:val="0"/>
          <w:marBottom w:val="0"/>
          <w:divBdr>
            <w:top w:val="none" w:sz="0" w:space="0" w:color="auto"/>
            <w:left w:val="none" w:sz="0" w:space="0" w:color="auto"/>
            <w:bottom w:val="none" w:sz="0" w:space="0" w:color="auto"/>
            <w:right w:val="none" w:sz="0" w:space="0" w:color="auto"/>
          </w:divBdr>
          <w:divsChild>
            <w:div w:id="1354111386">
              <w:marLeft w:val="0"/>
              <w:marRight w:val="0"/>
              <w:marTop w:val="0"/>
              <w:marBottom w:val="0"/>
              <w:divBdr>
                <w:top w:val="none" w:sz="0" w:space="0" w:color="auto"/>
                <w:left w:val="none" w:sz="0" w:space="0" w:color="auto"/>
                <w:bottom w:val="none" w:sz="0" w:space="0" w:color="auto"/>
                <w:right w:val="none" w:sz="0" w:space="0" w:color="auto"/>
              </w:divBdr>
            </w:div>
            <w:div w:id="890270230">
              <w:marLeft w:val="0"/>
              <w:marRight w:val="0"/>
              <w:marTop w:val="0"/>
              <w:marBottom w:val="0"/>
              <w:divBdr>
                <w:top w:val="none" w:sz="0" w:space="0" w:color="auto"/>
                <w:left w:val="none" w:sz="0" w:space="0" w:color="auto"/>
                <w:bottom w:val="none" w:sz="0" w:space="0" w:color="auto"/>
                <w:right w:val="none" w:sz="0" w:space="0" w:color="auto"/>
              </w:divBdr>
            </w:div>
            <w:div w:id="1551649174">
              <w:marLeft w:val="0"/>
              <w:marRight w:val="0"/>
              <w:marTop w:val="0"/>
              <w:marBottom w:val="0"/>
              <w:divBdr>
                <w:top w:val="none" w:sz="0" w:space="0" w:color="auto"/>
                <w:left w:val="none" w:sz="0" w:space="0" w:color="auto"/>
                <w:bottom w:val="none" w:sz="0" w:space="0" w:color="auto"/>
                <w:right w:val="none" w:sz="0" w:space="0" w:color="auto"/>
              </w:divBdr>
            </w:div>
            <w:div w:id="607202254">
              <w:marLeft w:val="0"/>
              <w:marRight w:val="0"/>
              <w:marTop w:val="0"/>
              <w:marBottom w:val="0"/>
              <w:divBdr>
                <w:top w:val="none" w:sz="0" w:space="0" w:color="auto"/>
                <w:left w:val="none" w:sz="0" w:space="0" w:color="auto"/>
                <w:bottom w:val="none" w:sz="0" w:space="0" w:color="auto"/>
                <w:right w:val="none" w:sz="0" w:space="0" w:color="auto"/>
              </w:divBdr>
            </w:div>
            <w:div w:id="10109876">
              <w:marLeft w:val="0"/>
              <w:marRight w:val="0"/>
              <w:marTop w:val="0"/>
              <w:marBottom w:val="0"/>
              <w:divBdr>
                <w:top w:val="none" w:sz="0" w:space="0" w:color="auto"/>
                <w:left w:val="none" w:sz="0" w:space="0" w:color="auto"/>
                <w:bottom w:val="none" w:sz="0" w:space="0" w:color="auto"/>
                <w:right w:val="none" w:sz="0" w:space="0" w:color="auto"/>
              </w:divBdr>
            </w:div>
            <w:div w:id="1525246896">
              <w:marLeft w:val="0"/>
              <w:marRight w:val="0"/>
              <w:marTop w:val="0"/>
              <w:marBottom w:val="0"/>
              <w:divBdr>
                <w:top w:val="none" w:sz="0" w:space="0" w:color="auto"/>
                <w:left w:val="none" w:sz="0" w:space="0" w:color="auto"/>
                <w:bottom w:val="none" w:sz="0" w:space="0" w:color="auto"/>
                <w:right w:val="none" w:sz="0" w:space="0" w:color="auto"/>
              </w:divBdr>
            </w:div>
            <w:div w:id="1416822984">
              <w:marLeft w:val="0"/>
              <w:marRight w:val="0"/>
              <w:marTop w:val="0"/>
              <w:marBottom w:val="0"/>
              <w:divBdr>
                <w:top w:val="none" w:sz="0" w:space="0" w:color="auto"/>
                <w:left w:val="none" w:sz="0" w:space="0" w:color="auto"/>
                <w:bottom w:val="none" w:sz="0" w:space="0" w:color="auto"/>
                <w:right w:val="none" w:sz="0" w:space="0" w:color="auto"/>
              </w:divBdr>
            </w:div>
            <w:div w:id="84152121">
              <w:marLeft w:val="0"/>
              <w:marRight w:val="0"/>
              <w:marTop w:val="0"/>
              <w:marBottom w:val="0"/>
              <w:divBdr>
                <w:top w:val="none" w:sz="0" w:space="0" w:color="auto"/>
                <w:left w:val="none" w:sz="0" w:space="0" w:color="auto"/>
                <w:bottom w:val="none" w:sz="0" w:space="0" w:color="auto"/>
                <w:right w:val="none" w:sz="0" w:space="0" w:color="auto"/>
              </w:divBdr>
            </w:div>
            <w:div w:id="427582887">
              <w:marLeft w:val="0"/>
              <w:marRight w:val="0"/>
              <w:marTop w:val="0"/>
              <w:marBottom w:val="0"/>
              <w:divBdr>
                <w:top w:val="none" w:sz="0" w:space="0" w:color="auto"/>
                <w:left w:val="none" w:sz="0" w:space="0" w:color="auto"/>
                <w:bottom w:val="none" w:sz="0" w:space="0" w:color="auto"/>
                <w:right w:val="none" w:sz="0" w:space="0" w:color="auto"/>
              </w:divBdr>
            </w:div>
            <w:div w:id="1626426066">
              <w:marLeft w:val="0"/>
              <w:marRight w:val="0"/>
              <w:marTop w:val="0"/>
              <w:marBottom w:val="0"/>
              <w:divBdr>
                <w:top w:val="none" w:sz="0" w:space="0" w:color="auto"/>
                <w:left w:val="none" w:sz="0" w:space="0" w:color="auto"/>
                <w:bottom w:val="none" w:sz="0" w:space="0" w:color="auto"/>
                <w:right w:val="none" w:sz="0" w:space="0" w:color="auto"/>
              </w:divBdr>
            </w:div>
            <w:div w:id="5133304">
              <w:marLeft w:val="0"/>
              <w:marRight w:val="0"/>
              <w:marTop w:val="0"/>
              <w:marBottom w:val="0"/>
              <w:divBdr>
                <w:top w:val="none" w:sz="0" w:space="0" w:color="auto"/>
                <w:left w:val="none" w:sz="0" w:space="0" w:color="auto"/>
                <w:bottom w:val="none" w:sz="0" w:space="0" w:color="auto"/>
                <w:right w:val="none" w:sz="0" w:space="0" w:color="auto"/>
              </w:divBdr>
            </w:div>
            <w:div w:id="2125070811">
              <w:marLeft w:val="0"/>
              <w:marRight w:val="0"/>
              <w:marTop w:val="0"/>
              <w:marBottom w:val="0"/>
              <w:divBdr>
                <w:top w:val="none" w:sz="0" w:space="0" w:color="auto"/>
                <w:left w:val="none" w:sz="0" w:space="0" w:color="auto"/>
                <w:bottom w:val="none" w:sz="0" w:space="0" w:color="auto"/>
                <w:right w:val="none" w:sz="0" w:space="0" w:color="auto"/>
              </w:divBdr>
            </w:div>
            <w:div w:id="1134251098">
              <w:marLeft w:val="0"/>
              <w:marRight w:val="0"/>
              <w:marTop w:val="0"/>
              <w:marBottom w:val="0"/>
              <w:divBdr>
                <w:top w:val="none" w:sz="0" w:space="0" w:color="auto"/>
                <w:left w:val="none" w:sz="0" w:space="0" w:color="auto"/>
                <w:bottom w:val="none" w:sz="0" w:space="0" w:color="auto"/>
                <w:right w:val="none" w:sz="0" w:space="0" w:color="auto"/>
              </w:divBdr>
            </w:div>
            <w:div w:id="1208104625">
              <w:marLeft w:val="0"/>
              <w:marRight w:val="0"/>
              <w:marTop w:val="0"/>
              <w:marBottom w:val="0"/>
              <w:divBdr>
                <w:top w:val="none" w:sz="0" w:space="0" w:color="auto"/>
                <w:left w:val="none" w:sz="0" w:space="0" w:color="auto"/>
                <w:bottom w:val="none" w:sz="0" w:space="0" w:color="auto"/>
                <w:right w:val="none" w:sz="0" w:space="0" w:color="auto"/>
              </w:divBdr>
            </w:div>
            <w:div w:id="1062411802">
              <w:marLeft w:val="0"/>
              <w:marRight w:val="0"/>
              <w:marTop w:val="0"/>
              <w:marBottom w:val="0"/>
              <w:divBdr>
                <w:top w:val="none" w:sz="0" w:space="0" w:color="auto"/>
                <w:left w:val="none" w:sz="0" w:space="0" w:color="auto"/>
                <w:bottom w:val="none" w:sz="0" w:space="0" w:color="auto"/>
                <w:right w:val="none" w:sz="0" w:space="0" w:color="auto"/>
              </w:divBdr>
            </w:div>
            <w:div w:id="1825655915">
              <w:marLeft w:val="0"/>
              <w:marRight w:val="0"/>
              <w:marTop w:val="0"/>
              <w:marBottom w:val="0"/>
              <w:divBdr>
                <w:top w:val="none" w:sz="0" w:space="0" w:color="auto"/>
                <w:left w:val="none" w:sz="0" w:space="0" w:color="auto"/>
                <w:bottom w:val="none" w:sz="0" w:space="0" w:color="auto"/>
                <w:right w:val="none" w:sz="0" w:space="0" w:color="auto"/>
              </w:divBdr>
            </w:div>
            <w:div w:id="900554913">
              <w:marLeft w:val="0"/>
              <w:marRight w:val="0"/>
              <w:marTop w:val="0"/>
              <w:marBottom w:val="0"/>
              <w:divBdr>
                <w:top w:val="none" w:sz="0" w:space="0" w:color="auto"/>
                <w:left w:val="none" w:sz="0" w:space="0" w:color="auto"/>
                <w:bottom w:val="none" w:sz="0" w:space="0" w:color="auto"/>
                <w:right w:val="none" w:sz="0" w:space="0" w:color="auto"/>
              </w:divBdr>
            </w:div>
            <w:div w:id="353196360">
              <w:marLeft w:val="0"/>
              <w:marRight w:val="0"/>
              <w:marTop w:val="0"/>
              <w:marBottom w:val="0"/>
              <w:divBdr>
                <w:top w:val="none" w:sz="0" w:space="0" w:color="auto"/>
                <w:left w:val="none" w:sz="0" w:space="0" w:color="auto"/>
                <w:bottom w:val="none" w:sz="0" w:space="0" w:color="auto"/>
                <w:right w:val="none" w:sz="0" w:space="0" w:color="auto"/>
              </w:divBdr>
            </w:div>
            <w:div w:id="1187985913">
              <w:marLeft w:val="0"/>
              <w:marRight w:val="0"/>
              <w:marTop w:val="0"/>
              <w:marBottom w:val="0"/>
              <w:divBdr>
                <w:top w:val="none" w:sz="0" w:space="0" w:color="auto"/>
                <w:left w:val="none" w:sz="0" w:space="0" w:color="auto"/>
                <w:bottom w:val="none" w:sz="0" w:space="0" w:color="auto"/>
                <w:right w:val="none" w:sz="0" w:space="0" w:color="auto"/>
              </w:divBdr>
            </w:div>
            <w:div w:id="599990032">
              <w:marLeft w:val="0"/>
              <w:marRight w:val="0"/>
              <w:marTop w:val="0"/>
              <w:marBottom w:val="0"/>
              <w:divBdr>
                <w:top w:val="none" w:sz="0" w:space="0" w:color="auto"/>
                <w:left w:val="none" w:sz="0" w:space="0" w:color="auto"/>
                <w:bottom w:val="none" w:sz="0" w:space="0" w:color="auto"/>
                <w:right w:val="none" w:sz="0" w:space="0" w:color="auto"/>
              </w:divBdr>
            </w:div>
            <w:div w:id="1268003340">
              <w:marLeft w:val="0"/>
              <w:marRight w:val="0"/>
              <w:marTop w:val="0"/>
              <w:marBottom w:val="0"/>
              <w:divBdr>
                <w:top w:val="none" w:sz="0" w:space="0" w:color="auto"/>
                <w:left w:val="none" w:sz="0" w:space="0" w:color="auto"/>
                <w:bottom w:val="none" w:sz="0" w:space="0" w:color="auto"/>
                <w:right w:val="none" w:sz="0" w:space="0" w:color="auto"/>
              </w:divBdr>
            </w:div>
            <w:div w:id="209807272">
              <w:marLeft w:val="0"/>
              <w:marRight w:val="0"/>
              <w:marTop w:val="0"/>
              <w:marBottom w:val="0"/>
              <w:divBdr>
                <w:top w:val="none" w:sz="0" w:space="0" w:color="auto"/>
                <w:left w:val="none" w:sz="0" w:space="0" w:color="auto"/>
                <w:bottom w:val="none" w:sz="0" w:space="0" w:color="auto"/>
                <w:right w:val="none" w:sz="0" w:space="0" w:color="auto"/>
              </w:divBdr>
            </w:div>
            <w:div w:id="834344318">
              <w:marLeft w:val="0"/>
              <w:marRight w:val="0"/>
              <w:marTop w:val="0"/>
              <w:marBottom w:val="0"/>
              <w:divBdr>
                <w:top w:val="none" w:sz="0" w:space="0" w:color="auto"/>
                <w:left w:val="none" w:sz="0" w:space="0" w:color="auto"/>
                <w:bottom w:val="none" w:sz="0" w:space="0" w:color="auto"/>
                <w:right w:val="none" w:sz="0" w:space="0" w:color="auto"/>
              </w:divBdr>
            </w:div>
            <w:div w:id="1977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343">
      <w:bodyDiv w:val="1"/>
      <w:marLeft w:val="0"/>
      <w:marRight w:val="0"/>
      <w:marTop w:val="0"/>
      <w:marBottom w:val="0"/>
      <w:divBdr>
        <w:top w:val="none" w:sz="0" w:space="0" w:color="auto"/>
        <w:left w:val="none" w:sz="0" w:space="0" w:color="auto"/>
        <w:bottom w:val="none" w:sz="0" w:space="0" w:color="auto"/>
        <w:right w:val="none" w:sz="0" w:space="0" w:color="auto"/>
      </w:divBdr>
    </w:div>
    <w:div w:id="1380857767">
      <w:bodyDiv w:val="1"/>
      <w:marLeft w:val="0"/>
      <w:marRight w:val="0"/>
      <w:marTop w:val="0"/>
      <w:marBottom w:val="0"/>
      <w:divBdr>
        <w:top w:val="none" w:sz="0" w:space="0" w:color="auto"/>
        <w:left w:val="none" w:sz="0" w:space="0" w:color="auto"/>
        <w:bottom w:val="none" w:sz="0" w:space="0" w:color="auto"/>
        <w:right w:val="none" w:sz="0" w:space="0" w:color="auto"/>
      </w:divBdr>
    </w:div>
    <w:div w:id="1460108488">
      <w:bodyDiv w:val="1"/>
      <w:marLeft w:val="0"/>
      <w:marRight w:val="0"/>
      <w:marTop w:val="0"/>
      <w:marBottom w:val="0"/>
      <w:divBdr>
        <w:top w:val="none" w:sz="0" w:space="0" w:color="auto"/>
        <w:left w:val="none" w:sz="0" w:space="0" w:color="auto"/>
        <w:bottom w:val="none" w:sz="0" w:space="0" w:color="auto"/>
        <w:right w:val="none" w:sz="0" w:space="0" w:color="auto"/>
      </w:divBdr>
      <w:divsChild>
        <w:div w:id="45221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9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155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19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21566">
      <w:bodyDiv w:val="1"/>
      <w:marLeft w:val="0"/>
      <w:marRight w:val="0"/>
      <w:marTop w:val="0"/>
      <w:marBottom w:val="0"/>
      <w:divBdr>
        <w:top w:val="none" w:sz="0" w:space="0" w:color="auto"/>
        <w:left w:val="none" w:sz="0" w:space="0" w:color="auto"/>
        <w:bottom w:val="none" w:sz="0" w:space="0" w:color="auto"/>
        <w:right w:val="none" w:sz="0" w:space="0" w:color="auto"/>
      </w:divBdr>
    </w:div>
    <w:div w:id="1725524491">
      <w:bodyDiv w:val="1"/>
      <w:marLeft w:val="0"/>
      <w:marRight w:val="0"/>
      <w:marTop w:val="0"/>
      <w:marBottom w:val="0"/>
      <w:divBdr>
        <w:top w:val="none" w:sz="0" w:space="0" w:color="auto"/>
        <w:left w:val="none" w:sz="0" w:space="0" w:color="auto"/>
        <w:bottom w:val="none" w:sz="0" w:space="0" w:color="auto"/>
        <w:right w:val="none" w:sz="0" w:space="0" w:color="auto"/>
      </w:divBdr>
      <w:divsChild>
        <w:div w:id="1091001089">
          <w:marLeft w:val="0"/>
          <w:marRight w:val="0"/>
          <w:marTop w:val="0"/>
          <w:marBottom w:val="0"/>
          <w:divBdr>
            <w:top w:val="none" w:sz="0" w:space="0" w:color="auto"/>
            <w:left w:val="none" w:sz="0" w:space="0" w:color="auto"/>
            <w:bottom w:val="none" w:sz="0" w:space="0" w:color="auto"/>
            <w:right w:val="none" w:sz="0" w:space="0" w:color="auto"/>
          </w:divBdr>
          <w:divsChild>
            <w:div w:id="68815488">
              <w:marLeft w:val="0"/>
              <w:marRight w:val="0"/>
              <w:marTop w:val="0"/>
              <w:marBottom w:val="0"/>
              <w:divBdr>
                <w:top w:val="none" w:sz="0" w:space="0" w:color="auto"/>
                <w:left w:val="none" w:sz="0" w:space="0" w:color="auto"/>
                <w:bottom w:val="none" w:sz="0" w:space="0" w:color="auto"/>
                <w:right w:val="none" w:sz="0" w:space="0" w:color="auto"/>
              </w:divBdr>
            </w:div>
            <w:div w:id="1660768875">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496268484">
              <w:marLeft w:val="0"/>
              <w:marRight w:val="0"/>
              <w:marTop w:val="0"/>
              <w:marBottom w:val="0"/>
              <w:divBdr>
                <w:top w:val="none" w:sz="0" w:space="0" w:color="auto"/>
                <w:left w:val="none" w:sz="0" w:space="0" w:color="auto"/>
                <w:bottom w:val="none" w:sz="0" w:space="0" w:color="auto"/>
                <w:right w:val="none" w:sz="0" w:space="0" w:color="auto"/>
              </w:divBdr>
            </w:div>
            <w:div w:id="798106854">
              <w:marLeft w:val="0"/>
              <w:marRight w:val="0"/>
              <w:marTop w:val="0"/>
              <w:marBottom w:val="0"/>
              <w:divBdr>
                <w:top w:val="none" w:sz="0" w:space="0" w:color="auto"/>
                <w:left w:val="none" w:sz="0" w:space="0" w:color="auto"/>
                <w:bottom w:val="none" w:sz="0" w:space="0" w:color="auto"/>
                <w:right w:val="none" w:sz="0" w:space="0" w:color="auto"/>
              </w:divBdr>
            </w:div>
            <w:div w:id="756679491">
              <w:marLeft w:val="0"/>
              <w:marRight w:val="0"/>
              <w:marTop w:val="0"/>
              <w:marBottom w:val="0"/>
              <w:divBdr>
                <w:top w:val="none" w:sz="0" w:space="0" w:color="auto"/>
                <w:left w:val="none" w:sz="0" w:space="0" w:color="auto"/>
                <w:bottom w:val="none" w:sz="0" w:space="0" w:color="auto"/>
                <w:right w:val="none" w:sz="0" w:space="0" w:color="auto"/>
              </w:divBdr>
            </w:div>
            <w:div w:id="388039371">
              <w:marLeft w:val="0"/>
              <w:marRight w:val="0"/>
              <w:marTop w:val="0"/>
              <w:marBottom w:val="0"/>
              <w:divBdr>
                <w:top w:val="none" w:sz="0" w:space="0" w:color="auto"/>
                <w:left w:val="none" w:sz="0" w:space="0" w:color="auto"/>
                <w:bottom w:val="none" w:sz="0" w:space="0" w:color="auto"/>
                <w:right w:val="none" w:sz="0" w:space="0" w:color="auto"/>
              </w:divBdr>
            </w:div>
            <w:div w:id="478034888">
              <w:marLeft w:val="0"/>
              <w:marRight w:val="0"/>
              <w:marTop w:val="0"/>
              <w:marBottom w:val="0"/>
              <w:divBdr>
                <w:top w:val="none" w:sz="0" w:space="0" w:color="auto"/>
                <w:left w:val="none" w:sz="0" w:space="0" w:color="auto"/>
                <w:bottom w:val="none" w:sz="0" w:space="0" w:color="auto"/>
                <w:right w:val="none" w:sz="0" w:space="0" w:color="auto"/>
              </w:divBdr>
            </w:div>
            <w:div w:id="2135177881">
              <w:marLeft w:val="0"/>
              <w:marRight w:val="0"/>
              <w:marTop w:val="0"/>
              <w:marBottom w:val="0"/>
              <w:divBdr>
                <w:top w:val="none" w:sz="0" w:space="0" w:color="auto"/>
                <w:left w:val="none" w:sz="0" w:space="0" w:color="auto"/>
                <w:bottom w:val="none" w:sz="0" w:space="0" w:color="auto"/>
                <w:right w:val="none" w:sz="0" w:space="0" w:color="auto"/>
              </w:divBdr>
            </w:div>
            <w:div w:id="400106412">
              <w:marLeft w:val="0"/>
              <w:marRight w:val="0"/>
              <w:marTop w:val="0"/>
              <w:marBottom w:val="0"/>
              <w:divBdr>
                <w:top w:val="none" w:sz="0" w:space="0" w:color="auto"/>
                <w:left w:val="none" w:sz="0" w:space="0" w:color="auto"/>
                <w:bottom w:val="none" w:sz="0" w:space="0" w:color="auto"/>
                <w:right w:val="none" w:sz="0" w:space="0" w:color="auto"/>
              </w:divBdr>
            </w:div>
            <w:div w:id="516119310">
              <w:marLeft w:val="0"/>
              <w:marRight w:val="0"/>
              <w:marTop w:val="0"/>
              <w:marBottom w:val="0"/>
              <w:divBdr>
                <w:top w:val="none" w:sz="0" w:space="0" w:color="auto"/>
                <w:left w:val="none" w:sz="0" w:space="0" w:color="auto"/>
                <w:bottom w:val="none" w:sz="0" w:space="0" w:color="auto"/>
                <w:right w:val="none" w:sz="0" w:space="0" w:color="auto"/>
              </w:divBdr>
            </w:div>
            <w:div w:id="1373579211">
              <w:marLeft w:val="0"/>
              <w:marRight w:val="0"/>
              <w:marTop w:val="0"/>
              <w:marBottom w:val="0"/>
              <w:divBdr>
                <w:top w:val="none" w:sz="0" w:space="0" w:color="auto"/>
                <w:left w:val="none" w:sz="0" w:space="0" w:color="auto"/>
                <w:bottom w:val="none" w:sz="0" w:space="0" w:color="auto"/>
                <w:right w:val="none" w:sz="0" w:space="0" w:color="auto"/>
              </w:divBdr>
            </w:div>
            <w:div w:id="858666333">
              <w:marLeft w:val="0"/>
              <w:marRight w:val="0"/>
              <w:marTop w:val="0"/>
              <w:marBottom w:val="0"/>
              <w:divBdr>
                <w:top w:val="none" w:sz="0" w:space="0" w:color="auto"/>
                <w:left w:val="none" w:sz="0" w:space="0" w:color="auto"/>
                <w:bottom w:val="none" w:sz="0" w:space="0" w:color="auto"/>
                <w:right w:val="none" w:sz="0" w:space="0" w:color="auto"/>
              </w:divBdr>
            </w:div>
            <w:div w:id="959456777">
              <w:marLeft w:val="0"/>
              <w:marRight w:val="0"/>
              <w:marTop w:val="0"/>
              <w:marBottom w:val="0"/>
              <w:divBdr>
                <w:top w:val="none" w:sz="0" w:space="0" w:color="auto"/>
                <w:left w:val="none" w:sz="0" w:space="0" w:color="auto"/>
                <w:bottom w:val="none" w:sz="0" w:space="0" w:color="auto"/>
                <w:right w:val="none" w:sz="0" w:space="0" w:color="auto"/>
              </w:divBdr>
            </w:div>
            <w:div w:id="868226823">
              <w:marLeft w:val="0"/>
              <w:marRight w:val="0"/>
              <w:marTop w:val="0"/>
              <w:marBottom w:val="0"/>
              <w:divBdr>
                <w:top w:val="none" w:sz="0" w:space="0" w:color="auto"/>
                <w:left w:val="none" w:sz="0" w:space="0" w:color="auto"/>
                <w:bottom w:val="none" w:sz="0" w:space="0" w:color="auto"/>
                <w:right w:val="none" w:sz="0" w:space="0" w:color="auto"/>
              </w:divBdr>
            </w:div>
            <w:div w:id="11731657">
              <w:marLeft w:val="0"/>
              <w:marRight w:val="0"/>
              <w:marTop w:val="0"/>
              <w:marBottom w:val="0"/>
              <w:divBdr>
                <w:top w:val="none" w:sz="0" w:space="0" w:color="auto"/>
                <w:left w:val="none" w:sz="0" w:space="0" w:color="auto"/>
                <w:bottom w:val="none" w:sz="0" w:space="0" w:color="auto"/>
                <w:right w:val="none" w:sz="0" w:space="0" w:color="auto"/>
              </w:divBdr>
            </w:div>
            <w:div w:id="1328896014">
              <w:marLeft w:val="0"/>
              <w:marRight w:val="0"/>
              <w:marTop w:val="0"/>
              <w:marBottom w:val="0"/>
              <w:divBdr>
                <w:top w:val="none" w:sz="0" w:space="0" w:color="auto"/>
                <w:left w:val="none" w:sz="0" w:space="0" w:color="auto"/>
                <w:bottom w:val="none" w:sz="0" w:space="0" w:color="auto"/>
                <w:right w:val="none" w:sz="0" w:space="0" w:color="auto"/>
              </w:divBdr>
            </w:div>
            <w:div w:id="587350987">
              <w:marLeft w:val="0"/>
              <w:marRight w:val="0"/>
              <w:marTop w:val="0"/>
              <w:marBottom w:val="0"/>
              <w:divBdr>
                <w:top w:val="none" w:sz="0" w:space="0" w:color="auto"/>
                <w:left w:val="none" w:sz="0" w:space="0" w:color="auto"/>
                <w:bottom w:val="none" w:sz="0" w:space="0" w:color="auto"/>
                <w:right w:val="none" w:sz="0" w:space="0" w:color="auto"/>
              </w:divBdr>
            </w:div>
            <w:div w:id="1717466790">
              <w:marLeft w:val="0"/>
              <w:marRight w:val="0"/>
              <w:marTop w:val="0"/>
              <w:marBottom w:val="0"/>
              <w:divBdr>
                <w:top w:val="none" w:sz="0" w:space="0" w:color="auto"/>
                <w:left w:val="none" w:sz="0" w:space="0" w:color="auto"/>
                <w:bottom w:val="none" w:sz="0" w:space="0" w:color="auto"/>
                <w:right w:val="none" w:sz="0" w:space="0" w:color="auto"/>
              </w:divBdr>
            </w:div>
            <w:div w:id="1923446640">
              <w:marLeft w:val="0"/>
              <w:marRight w:val="0"/>
              <w:marTop w:val="0"/>
              <w:marBottom w:val="0"/>
              <w:divBdr>
                <w:top w:val="none" w:sz="0" w:space="0" w:color="auto"/>
                <w:left w:val="none" w:sz="0" w:space="0" w:color="auto"/>
                <w:bottom w:val="none" w:sz="0" w:space="0" w:color="auto"/>
                <w:right w:val="none" w:sz="0" w:space="0" w:color="auto"/>
              </w:divBdr>
            </w:div>
            <w:div w:id="583417764">
              <w:marLeft w:val="0"/>
              <w:marRight w:val="0"/>
              <w:marTop w:val="0"/>
              <w:marBottom w:val="0"/>
              <w:divBdr>
                <w:top w:val="none" w:sz="0" w:space="0" w:color="auto"/>
                <w:left w:val="none" w:sz="0" w:space="0" w:color="auto"/>
                <w:bottom w:val="none" w:sz="0" w:space="0" w:color="auto"/>
                <w:right w:val="none" w:sz="0" w:space="0" w:color="auto"/>
              </w:divBdr>
            </w:div>
            <w:div w:id="154538181">
              <w:marLeft w:val="0"/>
              <w:marRight w:val="0"/>
              <w:marTop w:val="0"/>
              <w:marBottom w:val="0"/>
              <w:divBdr>
                <w:top w:val="none" w:sz="0" w:space="0" w:color="auto"/>
                <w:left w:val="none" w:sz="0" w:space="0" w:color="auto"/>
                <w:bottom w:val="none" w:sz="0" w:space="0" w:color="auto"/>
                <w:right w:val="none" w:sz="0" w:space="0" w:color="auto"/>
              </w:divBdr>
            </w:div>
            <w:div w:id="1650213356">
              <w:marLeft w:val="0"/>
              <w:marRight w:val="0"/>
              <w:marTop w:val="0"/>
              <w:marBottom w:val="0"/>
              <w:divBdr>
                <w:top w:val="none" w:sz="0" w:space="0" w:color="auto"/>
                <w:left w:val="none" w:sz="0" w:space="0" w:color="auto"/>
                <w:bottom w:val="none" w:sz="0" w:space="0" w:color="auto"/>
                <w:right w:val="none" w:sz="0" w:space="0" w:color="auto"/>
              </w:divBdr>
            </w:div>
            <w:div w:id="260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5020">
      <w:bodyDiv w:val="1"/>
      <w:marLeft w:val="0"/>
      <w:marRight w:val="0"/>
      <w:marTop w:val="0"/>
      <w:marBottom w:val="0"/>
      <w:divBdr>
        <w:top w:val="none" w:sz="0" w:space="0" w:color="auto"/>
        <w:left w:val="none" w:sz="0" w:space="0" w:color="auto"/>
        <w:bottom w:val="none" w:sz="0" w:space="0" w:color="auto"/>
        <w:right w:val="none" w:sz="0" w:space="0" w:color="auto"/>
      </w:divBdr>
      <w:divsChild>
        <w:div w:id="119689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001031">
      <w:bodyDiv w:val="1"/>
      <w:marLeft w:val="0"/>
      <w:marRight w:val="0"/>
      <w:marTop w:val="0"/>
      <w:marBottom w:val="0"/>
      <w:divBdr>
        <w:top w:val="none" w:sz="0" w:space="0" w:color="auto"/>
        <w:left w:val="none" w:sz="0" w:space="0" w:color="auto"/>
        <w:bottom w:val="none" w:sz="0" w:space="0" w:color="auto"/>
        <w:right w:val="none" w:sz="0" w:space="0" w:color="auto"/>
      </w:divBdr>
      <w:divsChild>
        <w:div w:id="30667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5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7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93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16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4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62009">
      <w:bodyDiv w:val="1"/>
      <w:marLeft w:val="0"/>
      <w:marRight w:val="0"/>
      <w:marTop w:val="0"/>
      <w:marBottom w:val="0"/>
      <w:divBdr>
        <w:top w:val="none" w:sz="0" w:space="0" w:color="auto"/>
        <w:left w:val="none" w:sz="0" w:space="0" w:color="auto"/>
        <w:bottom w:val="none" w:sz="0" w:space="0" w:color="auto"/>
        <w:right w:val="none" w:sz="0" w:space="0" w:color="auto"/>
      </w:divBdr>
      <w:divsChild>
        <w:div w:id="210260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34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239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7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365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9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911629">
      <w:bodyDiv w:val="1"/>
      <w:marLeft w:val="0"/>
      <w:marRight w:val="0"/>
      <w:marTop w:val="0"/>
      <w:marBottom w:val="0"/>
      <w:divBdr>
        <w:top w:val="none" w:sz="0" w:space="0" w:color="auto"/>
        <w:left w:val="none" w:sz="0" w:space="0" w:color="auto"/>
        <w:bottom w:val="none" w:sz="0" w:space="0" w:color="auto"/>
        <w:right w:val="none" w:sz="0" w:space="0" w:color="auto"/>
      </w:divBdr>
    </w:div>
    <w:div w:id="21069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831</Words>
  <Characters>4575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BEY</dc:creator>
  <cp:keywords/>
  <dc:description/>
  <cp:lastModifiedBy>Benjamin BEY</cp:lastModifiedBy>
  <cp:revision>4</cp:revision>
  <dcterms:created xsi:type="dcterms:W3CDTF">2025-04-25T14:40:00Z</dcterms:created>
  <dcterms:modified xsi:type="dcterms:W3CDTF">2025-04-26T08:07:00Z</dcterms:modified>
</cp:coreProperties>
</file>