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240"/>
        <w:jc w:val="center"/>
      </w:pPr>
      <w:r>
        <w:rPr>
          <w:rFonts w:ascii="Arial" w:cs="Arial" w:eastAsia="Arial" w:hAnsi="Arial"/>
          <w:b/>
          <w:bCs/>
          <w:color w:val="2E75B6"/>
          <w:sz w:val="48"/>
          <w:szCs w:val="48"/>
        </w:rPr>
        <w:t xml:space="preserve">RAPPORT TECHNIQUE</w:t>
      </w:r>
    </w:p>
    <w:p>
      <w:pPr>
        <w:spacing w:after="120" w:before="120"/>
        <w:jc w:val="center"/>
      </w:pPr>
      <w:r>
        <w:rPr>
          <w:rFonts w:ascii="Arial" w:cs="Arial" w:eastAsia="Arial" w:hAnsi="Arial"/>
          <w:b/>
          <w:bCs/>
          <w:color w:val="1F5C8B"/>
          <w:sz w:val="32"/>
          <w:szCs w:val="32"/>
        </w:rPr>
        <w:t xml:space="preserve">Projet d'Ingénierie Big Data &amp; Analyse de Graphes Temps Réel</w:t>
      </w:r>
    </w:p>
    <w:p>
      <w:pPr>
        <w:spacing w:after="480" w:before="120"/>
        <w:jc w:val="center"/>
      </w:pPr>
      <w:r>
        <w:rPr>
          <w:rFonts w:ascii="Arial" w:cs="Arial" w:eastAsia="Arial" w:hAnsi="Arial"/>
          <w:color w:val="555555"/>
          <w:sz w:val="26"/>
          <w:szCs w:val="26"/>
        </w:rPr>
        <w:t xml:space="preserve">Plateforme de Streaming Infini d'Interactions Commerciales (Style "LeBonCoin")</w:t>
      </w:r>
    </w:p>
    <w:p>
      <w:pPr>
        <w:pBdr>
          <w:bottom w:val="single" w:color="2E75B6" w:sz="6" w:space="1"/>
        </w:pBdr>
        <w:spacing w:after="120" w:before="120"/>
      </w:pPr>
    </w:p>
    <w:p>
      <w:pPr>
        <w:spacing w:after="80" w:before="240"/>
        <w:jc w:val="center"/>
      </w:pPr>
      <w:r>
        <w:rPr>
          <w:rFonts w:ascii="Arial" w:cs="Arial" w:eastAsia="Arial" w:hAnsi="Arial"/>
          <w:color w:val="333333"/>
          <w:sz w:val="22"/>
          <w:szCs w:val="22"/>
        </w:rPr>
        <w:t xml:space="preserve">Module : Architecture et Programmation Distribuée Big Data</w:t>
      </w:r>
    </w:p>
    <w:p>
      <w:pPr>
        <w:spacing w:after="80" w:before="80"/>
        <w:jc w:val="center"/>
      </w:pPr>
      <w:r>
        <w:rPr>
          <w:rFonts w:ascii="Arial" w:cs="Arial" w:eastAsia="Arial" w:hAnsi="Arial"/>
          <w:color w:val="333333"/>
          <w:sz w:val="22"/>
          <w:szCs w:val="22"/>
        </w:rPr>
        <w:t xml:space="preserve">CY Tech — ING1</w:t>
      </w:r>
    </w:p>
    <w:p>
      <w:pPr>
        <w:spacing w:after="80" w:before="80"/>
        <w:jc w:val="center"/>
      </w:pPr>
      <w:r>
        <w:rPr>
          <w:rFonts w:ascii="Arial" w:cs="Arial" w:eastAsia="Arial" w:hAnsi="Arial"/>
          <w:color w:val="333333"/>
          <w:sz w:val="22"/>
          <w:szCs w:val="22"/>
        </w:rPr>
        <w:t xml:space="preserve">Juin 2026</w:t>
      </w:r>
    </w:p>
    <w:p>
      <w:pPr>
        <w:spacing w:before="240"/>
      </w:pPr>
    </w:p>
    <w:p>
      <w:r>
        <w:br w:type="page"/>
      </w:r>
    </w:p>
    <w:p>
      <w:pPr>
        <w:pStyle w:val="Heading1"/>
        <w:spacing w:after="180" w:before="360"/>
      </w:pPr>
      <w:r>
        <w:rPr>
          <w:rFonts w:ascii="Arial" w:cs="Arial" w:eastAsia="Arial" w:hAnsi="Arial"/>
          <w:b/>
          <w:bCs/>
          <w:color w:val="2E75B6"/>
          <w:sz w:val="32"/>
          <w:szCs w:val="32"/>
        </w:rPr>
        <w:t xml:space="preserve">1. Introduction et Contexte</w:t>
      </w:r>
    </w:p>
    <w:p>
      <w:pPr>
        <w:pBdr>
          <w:bottom w:val="single" w:color="2E75B6" w:sz="6" w:space="1"/>
        </w:pBdr>
        <w:spacing w:after="120" w:before="120"/>
      </w:pPr>
    </w:p>
    <w:p>
      <w:pPr>
        <w:spacing w:after="80" w:before="80"/>
      </w:pPr>
      <w:r>
        <w:rPr>
          <w:rFonts w:ascii="Arial" w:cs="Arial" w:eastAsia="Arial" w:hAnsi="Arial"/>
          <w:sz w:val="22"/>
          <w:szCs w:val="22"/>
        </w:rPr>
        <w:t xml:space="preserve">Ce projet s'inscrit dans le cadre du module d'architecture et de programmation distribuée Big Data. L'objectif est de concevoir, implémenter et évaluer une architecture applicative complète capable de gérer un flux de données massif et infini simulant les interactions des utilisateurs d'une plateforme de type "LeBonCoin".</w:t>
      </w:r>
    </w:p>
    <w:p>
      <w:pPr>
        <w:spacing w:after="80" w:before="80"/>
      </w:pPr>
      <w:r>
        <w:rPr>
          <w:rFonts w:ascii="Arial" w:cs="Arial" w:eastAsia="Arial" w:hAnsi="Arial"/>
          <w:sz w:val="22"/>
          <w:szCs w:val="22"/>
        </w:rPr>
        <w:t xml:space="preserve">La plateforme génère en continu des actions utilisateur complexes sur des produits mis en vente par des annonceurs. Le point central du projet consiste à interconnecter les entités (Utilisateurs, Vendeurs, Produits) sous la forme d'un réseau modélisé par un graphe de connexions évolutif, rafraîchi de manière incrémentale et visualisé dynamiquement.</w:t>
      </w:r>
    </w:p>
    <w:p>
      <w:pPr>
        <w:spacing w:before="120"/>
      </w:pPr>
    </w:p>
    <w:p>
      <w:pPr>
        <w:pStyle w:val="Heading2"/>
        <w:spacing w:after="120" w:before="240"/>
      </w:pPr>
      <w:r>
        <w:rPr>
          <w:rFonts w:ascii="Arial" w:cs="Arial" w:eastAsia="Arial" w:hAnsi="Arial"/>
          <w:b/>
          <w:bCs/>
          <w:color w:val="1F5C8B"/>
          <w:sz w:val="26"/>
          <w:szCs w:val="26"/>
        </w:rPr>
        <w:t xml:space="preserve">1.1 Architecture Globale du Pipeline</w:t>
      </w:r>
    </w:p>
    <w:p>
      <w:pPr>
        <w:spacing w:after="80" w:before="80"/>
      </w:pPr>
      <w:r>
        <w:rPr>
          <w:rFonts w:ascii="Arial" w:cs="Arial" w:eastAsia="Arial" w:hAnsi="Arial"/>
          <w:sz w:val="22"/>
          <w:szCs w:val="22"/>
        </w:rPr>
        <w:t xml:space="preserve">Le pipeline de traitement respecte la topologie suivante :</w:t>
      </w:r>
    </w:p>
    <w:p>
      <w:pPr>
        <w:spacing w:after="80" w:before="80"/>
        <w:ind w:left="360"/>
      </w:pPr>
      <w:r>
        <w:rPr>
          <w:rFonts w:ascii="Courier New" w:cs="Courier New" w:eastAsia="Courier New" w:hAnsi="Courier New"/>
          <w:color w:val="C0392B"/>
          <w:sz w:val="22"/>
          <w:szCs w:val="22"/>
        </w:rPr>
        <w:t xml:space="preserve">Simulateur (Flux)  →  PySpark Structured Streaming  →  Modèle Graphe  →  Dashboard Graphique</w:t>
      </w:r>
    </w:p>
    <w:p>
      <w:pPr>
        <w:spacing w:after="80" w:before="80"/>
      </w:pPr>
      <w:r>
        <w:rPr>
          <w:rFonts w:ascii="Arial" w:cs="Arial" w:eastAsia="Arial" w:hAnsi="Arial"/>
          <w:sz w:val="22"/>
          <w:szCs w:val="22"/>
        </w:rPr>
        <w:t xml:space="preserve">Ce pipeline implémente fidèlement l'architecture Master-Slave vue en cours : le Driver Spark joue le rôle de coordinateur central, les Executors effectuent le travail de calcul distribué, et le Dashboard consomme les résultats produits.</w:t>
      </w:r>
    </w:p>
    <w:p>
      <w:r>
        <w:br w:type="page"/>
      </w:r>
    </w:p>
    <w:p>
      <w:pPr>
        <w:pStyle w:val="Heading1"/>
        <w:spacing w:after="180" w:before="360"/>
      </w:pPr>
      <w:r>
        <w:rPr>
          <w:rFonts w:ascii="Arial" w:cs="Arial" w:eastAsia="Arial" w:hAnsi="Arial"/>
          <w:b/>
          <w:bCs/>
          <w:color w:val="2E75B6"/>
          <w:sz w:val="32"/>
          <w:szCs w:val="32"/>
        </w:rPr>
        <w:t xml:space="preserve">2. Génération du Flux de Données (producer.py)</w:t>
      </w:r>
    </w:p>
    <w:p>
      <w:pPr>
        <w:pBdr>
          <w:bottom w:val="single" w:color="2E75B6" w:sz="6" w:space="1"/>
        </w:pBdr>
        <w:spacing w:after="120" w:before="120"/>
      </w:pPr>
    </w:p>
    <w:p>
      <w:pPr>
        <w:pStyle w:val="Heading2"/>
        <w:spacing w:after="120" w:before="240"/>
      </w:pPr>
      <w:r>
        <w:rPr>
          <w:rFonts w:ascii="Arial" w:cs="Arial" w:eastAsia="Arial" w:hAnsi="Arial"/>
          <w:b/>
          <w:bCs/>
          <w:color w:val="1F5C8B"/>
          <w:sz w:val="26"/>
          <w:szCs w:val="26"/>
        </w:rPr>
        <w:t xml:space="preserve">2.1 Choix Technique : Socket TCP</w:t>
      </w:r>
    </w:p>
    <w:p>
      <w:pPr>
        <w:spacing w:after="80" w:before="80"/>
      </w:pPr>
      <w:r>
        <w:rPr>
          <w:rFonts w:ascii="Arial" w:cs="Arial" w:eastAsia="Arial" w:hAnsi="Arial"/>
          <w:sz w:val="22"/>
          <w:szCs w:val="22"/>
        </w:rPr>
        <w:t xml:space="preserve">Le simulateur autonome (producer.py) génère un flux ininterrompu d'événements JSON via un socket TCP sur le port 9999. Ce choix architectural est justifié par la nécessité de simuler un flux temps réel : contrairement à la lecture d'un fichier CSV (qui lirait toutes les données instantanément), le socket impose une cadence temporelle réaliste, permettant à Spark de recevoir les données au fil de l'eau.</w:t>
      </w:r>
    </w:p>
    <w:p>
      <w:pPr>
        <w:spacing w:after="80" w:before="80"/>
      </w:pPr>
      <w:r>
        <w:rPr>
          <w:rFonts w:ascii="Arial" w:cs="Arial" w:eastAsia="Arial" w:hAnsi="Arial"/>
          <w:sz w:val="22"/>
          <w:szCs w:val="22"/>
        </w:rPr>
        <w:t xml:space="preserve">Dans un système de production, ce composant serait remplacé par Apache Kafka, un système de messagerie distribué industriel. Notre socket TCP constitue une alternative pédagogique fonctionnellement équivalente.</w:t>
      </w:r>
    </w:p>
    <w:p>
      <w:pPr>
        <w:spacing w:before="120"/>
      </w:pPr>
    </w:p>
    <w:p>
      <w:pPr>
        <w:pStyle w:val="Heading2"/>
        <w:spacing w:after="120" w:before="240"/>
      </w:pPr>
      <w:r>
        <w:rPr>
          <w:rFonts w:ascii="Arial" w:cs="Arial" w:eastAsia="Arial" w:hAnsi="Arial"/>
          <w:b/>
          <w:bCs/>
          <w:color w:val="1F5C8B"/>
          <w:sz w:val="26"/>
          <w:szCs w:val="26"/>
        </w:rPr>
        <w:t xml:space="preserve">2.2 Structure des Événements Générés</w:t>
      </w:r>
    </w:p>
    <w:p>
      <w:pPr>
        <w:spacing w:after="80" w:before="80"/>
      </w:pPr>
      <w:r>
        <w:rPr>
          <w:rFonts w:ascii="Arial" w:cs="Arial" w:eastAsia="Arial" w:hAnsi="Arial"/>
          <w:sz w:val="22"/>
          <w:szCs w:val="22"/>
        </w:rPr>
        <w:t xml:space="preserve">Chaque événement respecte scrupuleusement le schéma défini dans le cahier des charges :</w:t>
      </w:r>
    </w:p>
    <w:p>
      <w:pPr>
        <w:spacing w:after="12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200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Heure ISO 8601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2026-05-25T09:15:30Z</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user_id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Identifiant acheteur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usr_0042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user_city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Localisation utilisateur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Paris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product_id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Identifiant article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prod_0017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product_cat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Catégorie objet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Véhicules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seller_id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Identifiant vendeur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sel_0005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AIME / VOUT / ACHAT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VOUT</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price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Double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Valeur marchande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450.00</w:t>
            </w:r>
          </w:p>
        </w:tc>
      </w:tr>
    </w:tbl>
    <w:p>
      <w:pPr>
        <w:spacing w:after="120" w:before="120"/>
      </w:pPr>
    </w:p>
    <w:p>
      <w:pPr>
        <w:pStyle w:val="Heading2"/>
        <w:spacing w:after="120" w:before="240"/>
      </w:pPr>
      <w:r>
        <w:rPr>
          <w:rFonts w:ascii="Arial" w:cs="Arial" w:eastAsia="Arial" w:hAnsi="Arial"/>
          <w:b/>
          <w:bCs/>
          <w:color w:val="1F5C8B"/>
          <w:sz w:val="26"/>
          <w:szCs w:val="26"/>
        </w:rPr>
        <w:t xml:space="preserve">2.3 Distribution des Actions</w:t>
      </w:r>
    </w:p>
    <w:p>
      <w:pPr>
        <w:spacing w:after="80" w:before="80"/>
      </w:pPr>
      <w:r>
        <w:rPr>
          <w:rFonts w:ascii="Arial" w:cs="Arial" w:eastAsia="Arial" w:hAnsi="Arial"/>
          <w:sz w:val="22"/>
          <w:szCs w:val="22"/>
        </w:rPr>
        <w:t xml:space="preserve">Les actions sont générées avec une distribution pondérée réaliste, reflétant le comportement réel des utilisateurs sur une plateforme d'annonces :</w:t>
      </w:r>
    </w:p>
    <w:p>
      <w:pPr>
        <w:pStyle w:val="ListParagraph"/>
        <w:numPr>
          <w:ilvl w:val="0"/>
          <w:numId w:val="2"/>
        </w:numPr>
        <w:spacing w:after="40" w:before="40"/>
      </w:pPr>
      <w:r>
        <w:rPr>
          <w:rFonts w:ascii="Arial" w:cs="Arial" w:eastAsia="Arial" w:hAnsi="Arial"/>
          <w:sz w:val="22"/>
          <w:szCs w:val="22"/>
        </w:rPr>
        <w:t xml:space="preserve">AIME : 60% des événements — manifestation d'un intérêt préliminaire</w:t>
      </w:r>
    </w:p>
    <w:p>
      <w:pPr>
        <w:pStyle w:val="ListParagraph"/>
        <w:numPr>
          <w:ilvl w:val="0"/>
          <w:numId w:val="2"/>
        </w:numPr>
        <w:spacing w:after="40" w:before="40"/>
      </w:pPr>
      <w:r>
        <w:rPr>
          <w:rFonts w:ascii="Arial" w:cs="Arial" w:eastAsia="Arial" w:hAnsi="Arial"/>
          <w:sz w:val="22"/>
          <w:szCs w:val="22"/>
        </w:rPr>
        <w:t xml:space="preserve">VOUT : 30% des événements — intention d'achat marquée</w:t>
      </w:r>
    </w:p>
    <w:p>
      <w:pPr>
        <w:pStyle w:val="ListParagraph"/>
        <w:numPr>
          <w:ilvl w:val="0"/>
          <w:numId w:val="2"/>
        </w:numPr>
        <w:spacing w:after="40" w:before="40"/>
      </w:pPr>
      <w:r>
        <w:rPr>
          <w:rFonts w:ascii="Arial" w:cs="Arial" w:eastAsia="Arial" w:hAnsi="Arial"/>
          <w:sz w:val="22"/>
          <w:szCs w:val="22"/>
        </w:rPr>
        <w:t xml:space="preserve">ACHAT : 10% des événements — finalisation de la transaction</w:t>
      </w:r>
    </w:p>
    <w:p>
      <w:pPr>
        <w:spacing w:after="80" w:before="80"/>
      </w:pPr>
      <w:r>
        <w:rPr>
          <w:rFonts w:ascii="Arial" w:cs="Arial" w:eastAsia="Arial" w:hAnsi="Arial"/>
          <w:sz w:val="22"/>
          <w:szCs w:val="22"/>
        </w:rPr>
        <w:t xml:space="preserve">Cette distribution est implémentée via random.choices() avec des poids [60, 30, 10], garantissant un flux statistiquement cohérent avec la réalité d'un entonnoir de conversion commercial.</w:t>
      </w:r>
    </w:p>
    <w:p>
      <w:r>
        <w:br w:type="page"/>
      </w:r>
    </w:p>
    <w:p>
      <w:pPr>
        <w:pStyle w:val="Heading1"/>
        <w:spacing w:after="180" w:before="360"/>
      </w:pPr>
      <w:r>
        <w:rPr>
          <w:rFonts w:ascii="Arial" w:cs="Arial" w:eastAsia="Arial" w:hAnsi="Arial"/>
          <w:b/>
          <w:bCs/>
          <w:color w:val="2E75B6"/>
          <w:sz w:val="32"/>
          <w:szCs w:val="32"/>
        </w:rPr>
        <w:t xml:space="preserve">3. Pipeline PySpark Structured Streaming (pipeline.py)</w:t>
      </w:r>
    </w:p>
    <w:p>
      <w:pPr>
        <w:pBdr>
          <w:bottom w:val="single" w:color="2E75B6" w:sz="6" w:space="1"/>
        </w:pBdr>
        <w:spacing w:after="120" w:before="120"/>
      </w:pPr>
    </w:p>
    <w:p>
      <w:pPr>
        <w:pStyle w:val="Heading2"/>
        <w:spacing w:after="120" w:before="240"/>
      </w:pPr>
      <w:r>
        <w:rPr>
          <w:rFonts w:ascii="Arial" w:cs="Arial" w:eastAsia="Arial" w:hAnsi="Arial"/>
          <w:b/>
          <w:bCs/>
          <w:color w:val="1F5C8B"/>
          <w:sz w:val="26"/>
          <w:szCs w:val="26"/>
        </w:rPr>
        <w:t xml:space="preserve">3.1 Configuration de la SparkSession</w:t>
      </w:r>
    </w:p>
    <w:p>
      <w:pPr>
        <w:spacing w:after="80" w:before="80"/>
      </w:pPr>
      <w:r>
        <w:rPr>
          <w:rFonts w:ascii="Arial" w:cs="Arial" w:eastAsia="Arial" w:hAnsi="Arial"/>
          <w:sz w:val="22"/>
          <w:szCs w:val="22"/>
        </w:rPr>
        <w:t xml:space="preserve">La SparkSession constitue le point d'entrée unique de l'application Spark (Spark 2.0+), remplaçant les anciens SparkContext, SQLContext et HiveContext. Elle est configurée avec une optimisation clé :</w:t>
      </w:r>
    </w:p>
    <w:p>
      <w:pPr>
        <w:shd w:fill="F4F4F4" w:val="clear"/>
        <w:spacing w:after="80" w:before="80"/>
        <w:ind w:left="720"/>
      </w:pPr>
      <w:r>
        <w:rPr>
          <w:rFonts w:ascii="Courier New" w:cs="Courier New" w:eastAsia="Courier New" w:hAnsi="Courier New"/>
          <w:color w:val="C0392B"/>
          <w:sz w:val="20"/>
          <w:szCs w:val="20"/>
        </w:rPr>
        <w:t>spark = SparkSession.builder.appName("LeBonCoin-Streaming").config("spark.jars.packages", "graphframes:graphframes:0.8.4-spark3.5-s_2.12").config("spark.driver.memory", "2g").config("spark.sql.shuffle.partitions", "4").config("spark.sql.adaptive.enabled", "false").getOrCreate()</w:t>
      </w:r>
    </w:p>
    <w:p>
      <w:pPr>
        <w:spacing w:after="80" w:before="80"/>
      </w:pPr>
      <w:r>
        <w:rPr>
          <w:rFonts w:ascii="Arial" w:cs="Arial" w:eastAsia="Arial" w:hAnsi="Arial"/>
          <w:b/>
          <w:bCs/>
          <w:sz w:val="22"/>
          <w:szCs w:val="22"/>
        </w:rPr>
        <w:t>Justification des configurations :</w:t>
        <w:br/>
        <w:t>• spark.sql.shuffle.partitions=4 : Par défaut, Spark crée 200 partitions lors d'un shuffle. Sur une machine locale mono-nœud, la valeur 4 correspond au nombre de cœurs CPU disponibles, optimisant le parallélisme sans overhead inutile.</w:t>
        <w:br/>
        <w:t>• spark.driver.memory=2g : GraphFrames utilise l'algorithme Pregel pour connectedComponents() et pageRank(), deux algorithmes itératifs nécessitant plus de mémoire que les opérations standard. 2 Go alloués au Driver garantissent leur exécution sans OutOfMemoryError.</w:t>
        <w:br/>
        <w:t>• spark.sql.adaptive.enabled=false : L'Adaptive Query Execution génère des plans d'exécution très verbeux avec GraphFrames, provoquant un OutOfMemoryError lors de leur sérialisation. Sa désactivation stabilise l'exécution sans impact sur les performances dans notre contexte local.</w:t>
      </w:r>
      <w:r>
        <w:rPr>
          <w:rFonts w:ascii="Arial" w:cs="Arial" w:eastAsia="Arial" w:hAnsi="Arial"/>
          <w:sz w:val="22"/>
          <w:szCs w:val="22"/>
        </w:rPr>
      </w:r>
    </w:p>
    <w:p>
      <w:pPr>
        <w:spacing w:before="120"/>
      </w:pPr>
    </w:p>
    <w:p>
      <w:pPr>
        <w:pStyle w:val="Heading2"/>
        <w:spacing w:after="120" w:before="240"/>
      </w:pPr>
      <w:r>
        <w:rPr>
          <w:rFonts w:ascii="Arial" w:cs="Arial" w:eastAsia="Arial" w:hAnsi="Arial"/>
          <w:b/>
          <w:bCs/>
          <w:color w:val="1F5C8B"/>
          <w:sz w:val="26"/>
          <w:szCs w:val="26"/>
        </w:rPr>
        <w:t xml:space="preserve">3.2 Schema Enforcement (Schéma Strict)</w:t>
      </w:r>
    </w:p>
    <w:p>
      <w:pPr>
        <w:spacing w:after="80" w:before="80"/>
      </w:pPr>
      <w:r>
        <w:rPr>
          <w:rFonts w:ascii="Arial" w:cs="Arial" w:eastAsia="Arial" w:hAnsi="Arial"/>
          <w:sz w:val="22"/>
          <w:szCs w:val="22"/>
        </w:rPr>
        <w:t xml:space="preserve">Conformément aux exigences du cahier des charges, le schéma de lecture est défini manuellement, évitant l'inférence automatique coûteuse :</w:t>
      </w:r>
    </w:p>
    <w:p>
      <w:pPr>
        <w:shd w:fill="F4F4F4" w:val="clear"/>
        <w:spacing w:after="80" w:before="80"/>
        <w:ind w:left="720"/>
      </w:pPr>
      <w:r>
        <w:rPr>
          <w:rFonts w:ascii="Courier New" w:cs="Courier New" w:eastAsia="Courier New" w:hAnsi="Courier New"/>
          <w:color w:val="C0392B"/>
          <w:sz w:val="20"/>
          <w:szCs w:val="20"/>
        </w:rPr>
        <w:t xml:space="preserve">schema = StructType([StructField('timestamp', TimestampType()), StructField('user_id', StringType()), ...])</w:t>
      </w:r>
    </w:p>
    <w:p>
      <w:pPr>
        <w:spacing w:after="80" w:before="80"/>
      </w:pPr>
      <w:r>
        <w:rPr>
          <w:rFonts w:ascii="Arial" w:cs="Arial" w:eastAsia="Arial" w:hAnsi="Arial"/>
          <w:b/>
          <w:bCs/>
          <w:sz w:val="22"/>
          <w:szCs w:val="22"/>
        </w:rPr>
        <w:t xml:space="preserve">Justification : </w:t>
      </w:r>
      <w:r>
        <w:rPr>
          <w:rFonts w:ascii="Arial" w:cs="Arial" w:eastAsia="Arial" w:hAnsi="Arial"/>
          <w:sz w:val="22"/>
          <w:szCs w:val="22"/>
        </w:rPr>
        <w:t xml:space="preserve">L'inférence automatique de schéma nécessite que Spark parcoure un échantillon des données avant traitement, introduisant une latence initiale significative. En mode streaming temps réel, cette latence est inacceptable. De plus, le schéma fixe garantit la cohérence des types tout au long du pipeline, évitant les erreurs de conversion à l'exécution.</w:t>
      </w:r>
    </w:p>
    <w:p>
      <w:pPr>
        <w:spacing w:before="120"/>
      </w:pPr>
    </w:p>
    <w:p>
      <w:pPr>
        <w:pStyle w:val="Heading2"/>
        <w:spacing w:after="120" w:before="240"/>
      </w:pPr>
      <w:r>
        <w:rPr>
          <w:rFonts w:ascii="Arial" w:cs="Arial" w:eastAsia="Arial" w:hAnsi="Arial"/>
          <w:b/>
          <w:bCs/>
          <w:color w:val="1F5C8B"/>
          <w:sz w:val="26"/>
          <w:szCs w:val="26"/>
        </w:rPr>
        <w:t xml:space="preserve">3.3 Watermarking — Justification du Choix de 10 Secondes</w:t>
      </w:r>
    </w:p>
    <w:p>
      <w:pPr>
        <w:spacing w:after="80" w:before="80"/>
      </w:pPr>
      <w:r>
        <w:rPr>
          <w:rFonts w:ascii="Arial" w:cs="Arial" w:eastAsia="Arial" w:hAnsi="Arial"/>
          <w:sz w:val="22"/>
          <w:szCs w:val="22"/>
        </w:rPr>
        <w:t xml:space="preserve">Le watermarking est une technique fondamentale du streaming qui permet de gérer les événements arrivant en retard dans le flux :</w:t>
      </w:r>
    </w:p>
    <w:p>
      <w:pPr>
        <w:shd w:fill="F4F4F4" w:val="clear"/>
        <w:spacing w:after="80" w:before="80"/>
        <w:ind w:left="720"/>
      </w:pPr>
      <w:r>
        <w:rPr>
          <w:rFonts w:ascii="Courier New" w:cs="Courier New" w:eastAsia="Courier New" w:hAnsi="Courier New"/>
          <w:color w:val="C0392B"/>
          <w:sz w:val="20"/>
          <w:szCs w:val="20"/>
        </w:rPr>
        <w:t xml:space="preserve">.withWatermark('timestamp', '10 seconds')</w:t>
      </w:r>
    </w:p>
    <w:p>
      <w:pPr>
        <w:spacing w:after="80" w:before="80"/>
      </w:pPr>
      <w:r>
        <w:rPr>
          <w:rFonts w:ascii="Arial" w:cs="Arial" w:eastAsia="Arial" w:hAnsi="Arial"/>
          <w:sz w:val="22"/>
          <w:szCs w:val="22"/>
        </w:rPr>
        <w:t xml:space="preserve">Sans watermarking, Spark conserverait en mémoire RAM toutes les fenêtres temporelles indéfiniment, dans l'attente d'éventuels événements tardifs. Cela provoquerait une croissance illimitée de la mémoire et un crash inévitable de l'application.</w:t>
      </w:r>
    </w:p>
    <w:p>
      <w:pPr>
        <w:spacing w:after="80" w:before="80"/>
      </w:pPr>
      <w:r>
        <w:rPr>
          <w:rFonts w:ascii="Arial" w:cs="Arial" w:eastAsia="Arial" w:hAnsi="Arial"/>
          <w:b/>
          <w:bCs/>
          <w:sz w:val="22"/>
          <w:szCs w:val="22"/>
        </w:rPr>
        <w:t xml:space="preserve">Justification de la valeur 10 secondes : </w:t>
      </w:r>
      <w:r>
        <w:rPr>
          <w:rFonts w:ascii="Arial" w:cs="Arial" w:eastAsia="Arial" w:hAnsi="Arial"/>
          <w:sz w:val="22"/>
          <w:szCs w:val="22"/>
        </w:rPr>
        <w:t xml:space="preserve">Le producer génère des événements toutes les 0.5 à 2 secondes sur le même réseau local. Un retard de plus de 10 secondes est donc statistiquement impossible dans notre architecture. Cette valeur constitue un compromis optimal entre tolérance aux retards réseaux locaux et libération efficace de la mémoire.</w:t>
      </w:r>
    </w:p>
    <w:p>
      <w:pPr>
        <w:spacing w:before="120"/>
      </w:pPr>
    </w:p>
    <w:p>
      <w:pPr>
        <w:pStyle w:val="Heading2"/>
        <w:spacing w:after="120" w:before="240"/>
      </w:pPr>
      <w:r>
        <w:rPr>
          <w:rFonts w:ascii="Arial" w:cs="Arial" w:eastAsia="Arial" w:hAnsi="Arial"/>
          <w:b/>
          <w:bCs/>
          <w:color w:val="1F5C8B"/>
          <w:sz w:val="26"/>
          <w:szCs w:val="26"/>
        </w:rPr>
        <w:t xml:space="preserve">3.4 Fenêtrage Temporel — Justification du Choix Sliding Window</w:t>
      </w:r>
    </w:p>
    <w:p>
      <w:pPr>
        <w:spacing w:after="80" w:before="80"/>
      </w:pPr>
      <w:r>
        <w:rPr>
          <w:rFonts w:ascii="Arial" w:cs="Arial" w:eastAsia="Arial" w:hAnsi="Arial"/>
          <w:sz w:val="22"/>
          <w:szCs w:val="22"/>
        </w:rPr>
        <w:t xml:space="preserve">Deux types de fenêtres sont disponibles en Spark Structured Streaming :</w:t>
      </w:r>
    </w:p>
    <w:p>
      <w:pPr>
        <w:spacing w:after="12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6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Tumbling Window</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Sliding Window (choix retenu)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Chevauchement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 — tranches disjointes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 un événement dans plusieurs fenêtres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Précision temporelle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Faible — granularité fixe</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Élevée — vue lissée des tendances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Détection de pics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Risque de manquer un pic en bordure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Détection fiable des pics d'activité</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Charge CPU</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Plus faible</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Légèrement plus élevée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Adapté au projet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 trop grossier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 suivi fin des interactions</w:t>
            </w:r>
          </w:p>
        </w:tc>
      </w:tr>
    </w:tbl>
    <w:p>
      <w:pPr>
        <w:spacing w:after="120" w:before="120"/>
      </w:pPr>
    </w:p>
    <w:p>
      <w:pPr>
        <w:shd w:fill="F4F4F4" w:val="clear"/>
        <w:spacing w:after="80" w:before="80"/>
        <w:ind w:left="720"/>
      </w:pPr>
      <w:r>
        <w:rPr>
          <w:rFonts w:ascii="Courier New" w:cs="Courier New" w:eastAsia="Courier New" w:hAnsi="Courier New"/>
          <w:color w:val="C0392B"/>
          <w:sz w:val="20"/>
          <w:szCs w:val="20"/>
        </w:rPr>
        <w:t xml:space="preserve">.groupBy(window(col('timestamp'), '30 seconds', '10 seconds'), col('action_type')).count()</w:t>
      </w:r>
    </w:p>
    <w:p>
      <w:pPr>
        <w:spacing w:after="80" w:before="80"/>
      </w:pPr>
      <w:r>
        <w:rPr>
          <w:rFonts w:ascii="Arial" w:cs="Arial" w:eastAsia="Arial" w:hAnsi="Arial"/>
          <w:b/>
          <w:bCs/>
          <w:sz w:val="22"/>
          <w:szCs w:val="22"/>
        </w:rPr>
        <w:t xml:space="preserve">Justification : </w:t>
      </w:r>
      <w:r>
        <w:rPr>
          <w:rFonts w:ascii="Arial" w:cs="Arial" w:eastAsia="Arial" w:hAnsi="Arial"/>
          <w:sz w:val="22"/>
          <w:szCs w:val="22"/>
        </w:rPr>
        <w:t xml:space="preserve">La Sliding Window avec une durée de 30 secondes et un pas de 10 secondes permet de détecter des tendances fines dans les interactions commerciales. Un pic soudain d'ACHAT sur un produit sera détecté dès la fenêtre suivante (10s), alors qu'une Tumbling Window pourrait le noyer dans une tranche de 30s ou le couper entre deux tranches.</w:t>
      </w:r>
    </w:p>
    <w:p>
      <w:pPr>
        <w:spacing w:before="120"/>
      </w:pPr>
    </w:p>
    <w:p>
      <w:pPr>
        <w:pStyle w:val="Heading2"/>
        <w:spacing w:after="120" w:before="240"/>
      </w:pPr>
      <w:r>
        <w:rPr>
          <w:rFonts w:ascii="Arial" w:cs="Arial" w:eastAsia="Arial" w:hAnsi="Arial"/>
          <w:b/>
          <w:bCs/>
          <w:color w:val="1F5C8B"/>
          <w:sz w:val="26"/>
          <w:szCs w:val="26"/>
        </w:rPr>
        <w:t xml:space="preserve">3.5 Output Mode — Justification du Choix "Update"</w:t>
      </w:r>
    </w:p>
    <w:p>
      <w:pPr>
        <w:spacing w:after="80" w:before="80"/>
      </w:pPr>
      <w:r>
        <w:rPr>
          <w:rFonts w:ascii="Arial" w:cs="Arial" w:eastAsia="Arial" w:hAnsi="Arial"/>
          <w:sz w:val="22"/>
          <w:szCs w:val="22"/>
        </w:rPr>
        <w:t xml:space="preserve">Spark Structured Streaming propose trois modes de sortie :</w:t>
      </w:r>
    </w:p>
    <w:p>
      <w:pPr>
        <w:spacing w:after="12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50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Compatible avec notre pipeline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Émet uniquement les nouvelles lignes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 incompatible avec agrégations de fenêtre</w:t>
            </w:r>
          </w:p>
        </w:tc>
      </w:tr>
      <w:tr>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Complete</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Réémet TOUT le tableau à chaque batch</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Non — trop coûteux, croissance illimitée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(retenu)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Émet uniquement les lignes modifiées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 optimal pour agrégations avec watermark</w:t>
            </w:r>
          </w:p>
        </w:tc>
      </w:tr>
    </w:tbl>
    <w:p>
      <w:pPr>
        <w:spacing w:after="120" w:before="120"/>
      </w:pPr>
    </w:p>
    <w:p>
      <w:pPr>
        <w:spacing w:after="80" w:before="80"/>
      </w:pPr>
      <w:r>
        <w:rPr>
          <w:rFonts w:ascii="Arial" w:cs="Arial" w:eastAsia="Arial" w:hAnsi="Arial"/>
          <w:b/>
          <w:bCs/>
          <w:sz w:val="22"/>
          <w:szCs w:val="22"/>
        </w:rPr>
        <w:t xml:space="preserve">Justification : </w:t>
      </w:r>
      <w:r>
        <w:rPr>
          <w:rFonts w:ascii="Arial" w:cs="Arial" w:eastAsia="Arial" w:hAnsi="Arial"/>
          <w:sz w:val="22"/>
          <w:szCs w:val="22"/>
        </w:rPr>
        <w:t xml:space="preserve">Le mode Update est le seul compatible avec les agrégations de fenêtres glissantes associées à un watermark. Il minimise le volume de données émises à chaque micro-batch en ne renvoyant que les fenêtres dont le compteur a évolué, optimisant ainsi les performances globales du pipeline.</w:t>
      </w:r>
    </w:p>
    <w:p>
      <w:r>
        <w:br w:type="page"/>
      </w:r>
    </w:p>
    <w:p>
      <w:pPr>
        <w:pStyle w:val="Heading1"/>
        <w:spacing w:after="180" w:before="360"/>
      </w:pPr>
      <w:r>
        <w:rPr>
          <w:rFonts w:ascii="Arial" w:cs="Arial" w:eastAsia="Arial" w:hAnsi="Arial"/>
          <w:b/>
          <w:bCs/>
          <w:color w:val="2E75B6"/>
          <w:sz w:val="32"/>
          <w:szCs w:val="32"/>
        </w:rPr>
        <w:t xml:space="preserve">4. Modélisation du Graphe de Connexions</w:t>
      </w:r>
    </w:p>
    <w:p>
      <w:pPr>
        <w:pBdr>
          <w:bottom w:val="single" w:color="2E75B6" w:sz="6" w:space="1"/>
        </w:pBdr>
        <w:spacing w:after="120" w:before="120"/>
      </w:pPr>
    </w:p>
    <w:p>
      <w:pPr>
        <w:pStyle w:val="Heading2"/>
        <w:spacing w:after="120" w:before="240"/>
      </w:pPr>
      <w:r>
        <w:rPr>
          <w:rFonts w:ascii="Arial" w:cs="Arial" w:eastAsia="Arial" w:hAnsi="Arial"/>
          <w:b/>
          <w:bCs/>
          <w:color w:val="1F5C8B"/>
          <w:sz w:val="26"/>
          <w:szCs w:val="26"/>
        </w:rPr>
        <w:t xml:space="preserve">4.1 Positionnement par rapport à GraphFrames</w:t>
      </w:r>
    </w:p>
    <w:p>
      <w:pPr>
        <w:spacing w:after="80" w:before="80"/>
      </w:pPr>
      <w:r>
        <w:rPr>
          <w:rFonts w:ascii="Arial" w:cs="Arial" w:eastAsia="Arial" w:hAnsi="Arial"/>
          <w:sz w:val="22"/>
          <w:szCs w:val="22"/>
        </w:rPr>
        <w:t xml:space="preserve">Le cahier des charges préconise l'utilisation de la bibliothèque GraphFrames. Après analyse, GraphFrames version 0.8.x n'est pas compatible avec PySpark 4.1.2 (compilé en mai 2026 avec Scala 2.13). L'API GraphFrames repose sur des dépendances Scala incompatibles avec cette version majeure.</w:t>
      </w:r>
    </w:p>
    <w:p>
      <w:pPr>
        <w:spacing w:after="80" w:before="80"/>
      </w:pPr>
      <w:r>
        <w:rPr>
          <w:rFonts w:ascii="Arial" w:cs="Arial" w:eastAsia="Arial" w:hAnsi="Arial"/>
          <w:sz w:val="22"/>
          <w:szCs w:val="22"/>
        </w:rPr>
        <w:t>GraphFrames est utilisé nativement dans notre pipeline. Après avoir résolu un conflit de version entre Spark 4.x (installation système) et GraphFrames 0.8.4 (compilé pour Scala 2.12), nous utilisons PySpark 3.5.3 via pip qui garantit la compatibilité Scala 2.12. Le JAR GraphFrames est chargé automatiquement via spark.jars.packages au démarrage de la SparkSession.</w:t>
      </w:r>
    </w:p>
    <w:p>
      <w:pPr>
        <w:spacing w:after="120" w:before="12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 GraphFrames</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Notre Implémentation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Équivalence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g.vertices DataFrame (id, type, label)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 Python → vertices.json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Identique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g.edges DataFrame (src, dst, relationship)</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Set Python → edges.json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Identique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g.degrees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out_degree + in_degree calculés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Identique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g.connectedComponents()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GraphFrames natif ✅</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Implémenté ✅</w:t>
            </w:r>
          </w:p>
        </w:tc>
      </w:tr>
    </w:tbl>
    <w:p>
      <w:pPr>
        <w:spacing w:after="120" w:before="120"/>
      </w:pPr>
    </w:p>
    <w:p>
      <w:pPr>
        <w:pStyle w:val="Heading2"/>
        <w:spacing w:after="120" w:before="240"/>
      </w:pPr>
      <w:r>
        <w:rPr>
          <w:rFonts w:ascii="Arial" w:cs="Arial" w:eastAsia="Arial" w:hAnsi="Arial"/>
          <w:b/>
          <w:bCs/>
          <w:color w:val="1F5C8B"/>
          <w:sz w:val="26"/>
          <w:szCs w:val="26"/>
        </w:rPr>
        <w:t xml:space="preserve">4.2 Structure des Vertices</w:t>
      </w:r>
    </w:p>
    <w:p>
      <w:pPr>
        <w:spacing w:after="80" w:before="80"/>
      </w:pPr>
      <w:r>
        <w:rPr>
          <w:rFonts w:ascii="Arial" w:cs="Arial" w:eastAsia="Arial" w:hAnsi="Arial"/>
          <w:sz w:val="22"/>
          <w:szCs w:val="22"/>
        </w:rPr>
        <w:t xml:space="preserve">Chaque nœud du graphe est représenté par les attributs suivants :</w:t>
      </w:r>
    </w:p>
    <w:p>
      <w:pPr>
        <w:pStyle w:val="ListParagraph"/>
        <w:numPr>
          <w:ilvl w:val="0"/>
          <w:numId w:val="2"/>
        </w:numPr>
        <w:spacing w:after="40" w:before="40"/>
      </w:pPr>
      <w:r>
        <w:rPr>
          <w:rFonts w:ascii="Arial" w:cs="Arial" w:eastAsia="Arial" w:hAnsi="Arial"/>
          <w:sz w:val="22"/>
          <w:szCs w:val="22"/>
        </w:rPr>
        <w:t xml:space="preserve">id : identifiant unique (ex: usr_0042, prod_0017, sel_0005)</w:t>
      </w:r>
    </w:p>
    <w:p>
      <w:pPr>
        <w:pStyle w:val="ListParagraph"/>
        <w:numPr>
          <w:ilvl w:val="0"/>
          <w:numId w:val="2"/>
        </w:numPr>
        <w:spacing w:after="40" w:before="40"/>
      </w:pPr>
      <w:r>
        <w:rPr>
          <w:rFonts w:ascii="Arial" w:cs="Arial" w:eastAsia="Arial" w:hAnsi="Arial"/>
          <w:sz w:val="22"/>
          <w:szCs w:val="22"/>
        </w:rPr>
        <w:t xml:space="preserve">type : catégorie du nœud (user / seller / product)</w:t>
      </w:r>
    </w:p>
    <w:p>
      <w:pPr>
        <w:pStyle w:val="ListParagraph"/>
        <w:numPr>
          <w:ilvl w:val="0"/>
          <w:numId w:val="2"/>
        </w:numPr>
        <w:spacing w:after="40" w:before="40"/>
      </w:pPr>
      <w:r>
        <w:rPr>
          <w:rFonts w:ascii="Arial" w:cs="Arial" w:eastAsia="Arial" w:hAnsi="Arial"/>
          <w:sz w:val="22"/>
          <w:szCs w:val="22"/>
        </w:rPr>
        <w:t xml:space="preserve">label : information contextuelle (ville pour users, catégorie pour produits)</w:t>
      </w:r>
    </w:p>
    <w:p>
      <w:pPr>
        <w:pStyle w:val="ListParagraph"/>
        <w:numPr>
          <w:ilvl w:val="0"/>
          <w:numId w:val="2"/>
        </w:numPr>
        <w:spacing w:after="40" w:before="40"/>
      </w:pPr>
      <w:r>
        <w:rPr>
          <w:rFonts w:ascii="Arial" w:cs="Arial" w:eastAsia="Arial" w:hAnsi="Arial"/>
          <w:sz w:val="22"/>
          <w:szCs w:val="22"/>
        </w:rPr>
        <w:t xml:space="preserve">out_degree : nombre de connexions sortantes</w:t>
      </w:r>
    </w:p>
    <w:p>
      <w:pPr>
        <w:pStyle w:val="ListParagraph"/>
        <w:numPr>
          <w:ilvl w:val="0"/>
          <w:numId w:val="2"/>
        </w:numPr>
        <w:spacing w:after="40" w:before="40"/>
      </w:pPr>
      <w:r>
        <w:rPr>
          <w:rFonts w:ascii="Arial" w:cs="Arial" w:eastAsia="Arial" w:hAnsi="Arial"/>
          <w:sz w:val="22"/>
          <w:szCs w:val="22"/>
        </w:rPr>
        <w:t xml:space="preserve">in_degree : nombre de connexions entrantes</w:t>
      </w:r>
    </w:p>
    <w:p>
      <w:pPr>
        <w:pStyle w:val="ListParagraph"/>
        <w:numPr>
          <w:ilvl w:val="0"/>
          <w:numId w:val="2"/>
        </w:numPr>
        <w:spacing w:after="40" w:before="40"/>
      </w:pPr>
      <w:r>
        <w:rPr>
          <w:rFonts w:ascii="Arial" w:cs="Arial" w:eastAsia="Arial" w:hAnsi="Arial"/>
          <w:sz w:val="22"/>
          <w:szCs w:val="22"/>
        </w:rPr>
        <w:t xml:space="preserve">component_id : identifiant de la composante connexe</w:t>
      </w:r>
    </w:p>
    <w:p>
      <w:pPr>
        <w:spacing w:before="120"/>
      </w:pPr>
    </w:p>
    <w:p>
      <w:pPr>
        <w:pStyle w:val="Heading2"/>
        <w:spacing w:after="120" w:before="240"/>
      </w:pPr>
      <w:r>
        <w:rPr>
          <w:rFonts w:ascii="Arial" w:cs="Arial" w:eastAsia="Arial" w:hAnsi="Arial"/>
          <w:b/>
          <w:bCs/>
          <w:color w:val="1F5C8B"/>
          <w:sz w:val="26"/>
          <w:szCs w:val="26"/>
        </w:rPr>
        <w:t xml:space="preserve">4.3 Structure des Edges</w:t>
      </w:r>
    </w:p>
    <w:p>
      <w:pPr>
        <w:spacing w:after="80" w:before="80"/>
      </w:pPr>
      <w:r>
        <w:rPr>
          <w:rFonts w:ascii="Arial" w:cs="Arial" w:eastAsia="Arial" w:hAnsi="Arial"/>
          <w:sz w:val="22"/>
          <w:szCs w:val="22"/>
        </w:rPr>
        <w:t xml:space="preserve">Chaque arête orientée représente une interaction :</w:t>
      </w:r>
    </w:p>
    <w:p>
      <w:pPr>
        <w:pStyle w:val="ListParagraph"/>
        <w:numPr>
          <w:ilvl w:val="0"/>
          <w:numId w:val="2"/>
        </w:numPr>
        <w:spacing w:after="40" w:before="40"/>
      </w:pPr>
      <w:r>
        <w:rPr>
          <w:rFonts w:ascii="Arial" w:cs="Arial" w:eastAsia="Arial" w:hAnsi="Arial"/>
          <w:sz w:val="22"/>
          <w:szCs w:val="22"/>
        </w:rPr>
        <w:t xml:space="preserve">src → dst : direction de l'interaction</w:t>
      </w:r>
    </w:p>
    <w:p>
      <w:pPr>
        <w:pStyle w:val="ListParagraph"/>
        <w:numPr>
          <w:ilvl w:val="0"/>
          <w:numId w:val="2"/>
        </w:numPr>
        <w:spacing w:after="40" w:before="40"/>
      </w:pPr>
      <w:r>
        <w:rPr>
          <w:rFonts w:ascii="Arial" w:cs="Arial" w:eastAsia="Arial" w:hAnsi="Arial"/>
          <w:sz w:val="22"/>
          <w:szCs w:val="22"/>
        </w:rPr>
        <w:t xml:space="preserve">relationship : AIME, VOUT, ACHAT (User → Product) ou PROPOSE (Seller → Product)</w:t>
      </w:r>
    </w:p>
    <w:p>
      <w:pPr>
        <w:spacing w:before="120"/>
      </w:pPr>
    </w:p>
    <w:p>
      <w:pPr>
        <w:pStyle w:val="Heading2"/>
        <w:spacing w:after="120" w:before="240"/>
      </w:pPr>
      <w:r>
        <w:rPr>
          <w:rFonts w:ascii="Arial" w:cs="Arial" w:eastAsia="Arial" w:hAnsi="Arial"/>
          <w:b/>
          <w:bCs/>
          <w:color w:val="1F5C8B"/>
          <w:sz w:val="26"/>
          <w:szCs w:val="26"/>
        </w:rPr>
        <w:t>4.4 Algorithme GraphFrames — connectedComponents() et pageRank()</w:t>
      </w:r>
    </w:p>
    <w:p>
      <w:pPr>
        <w:spacing w:after="80" w:before="80"/>
      </w:pPr>
      <w:r>
        <w:rPr>
          <w:rFonts w:ascii="Arial" w:cs="Arial" w:eastAsia="Arial" w:hAnsi="Arial"/>
          <w:sz w:val="22"/>
          <w:szCs w:val="22"/>
        </w:rPr>
        <w:t>GraphFrames fournit deux algorithmes de centralité utilisés dans notre pipeline :</w:t>
        <w:br/>
        <w:br/>
        <w:t>connectedComponents() : identifie les groupes de nœuds reliés directement ou indirectement. La diminution du nombre de composantes au fil du temps indique que le graphe devient plus interconnecté.</w:t>
        <w:br/>
        <w:br/>
        <w:t>pageRank(resetProbability=0.15, maxIter=3) : calcule l'importance relative de chaque nœud. Un nœud avec un PageRank élevé est celui vers lequel convergent le plus d'interactions — typiquement un produit très convoité ou un vendeur très actif. Ce score est persisté dans le JSON et utilisé pour dimensionner visuellement les nœuds dans le dashboard.</w:t>
      </w:r>
    </w:p>
    <w:p>
      <w:pPr>
        <w:spacing w:after="80" w:before="80"/>
      </w:pPr>
      <w:r>
        <w:rPr>
          <w:rFonts w:ascii="Arial" w:cs="Arial" w:eastAsia="Arial" w:hAnsi="Arial"/>
          <w:sz w:val="22"/>
          <w:szCs w:val="22"/>
        </w:rPr>
        <w:t xml:space="preserve">Il fonctionne en deux opérations :</w:t>
      </w:r>
    </w:p>
    <w:p>
      <w:pPr>
        <w:pStyle w:val="ListParagraph"/>
        <w:numPr>
          <w:ilvl w:val="0"/>
          <w:numId w:val="2"/>
        </w:numPr>
        <w:spacing w:after="40" w:before="40"/>
      </w:pPr>
      <w:r>
        <w:rPr>
          <w:rFonts w:ascii="Arial" w:cs="Arial" w:eastAsia="Arial" w:hAnsi="Arial"/>
          <w:sz w:val="22"/>
          <w:szCs w:val="22"/>
        </w:rPr>
        <w:t xml:space="preserve">Find(x) : remonte l'arbre jusqu'à la racine de x, avec compression de chemin pour optimiser les appels suivants</w:t>
      </w:r>
    </w:p>
    <w:p>
      <w:pPr>
        <w:pStyle w:val="ListParagraph"/>
        <w:numPr>
          <w:ilvl w:val="0"/>
          <w:numId w:val="2"/>
        </w:numPr>
        <w:spacing w:after="40" w:before="40"/>
      </w:pPr>
      <w:r>
        <w:rPr>
          <w:rFonts w:ascii="Arial" w:cs="Arial" w:eastAsia="Arial" w:hAnsi="Arial"/>
          <w:sz w:val="22"/>
          <w:szCs w:val="22"/>
        </w:rPr>
        <w:t xml:space="preserve">Union(x, y) : fusionne les deux composantes contenant x et y</w:t>
      </w:r>
    </w:p>
    <w:p>
      <w:pPr>
        <w:spacing w:after="80" w:before="80"/>
      </w:pPr>
      <w:r>
        <w:rPr>
          <w:rFonts w:ascii="Arial" w:cs="Arial" w:eastAsia="Arial" w:hAnsi="Arial"/>
          <w:sz w:val="22"/>
          <w:szCs w:val="22"/>
        </w:rPr>
        <w:t xml:space="preserve">La diminution du nombre de composantes connexes au fil du temps indique que le graphe devient plus interconnecté — signe d'une plateforme commerciale dynamique où les utilisateurs interagissent avec des produits partagés par plusieurs vendeurs.</w:t>
      </w:r>
    </w:p>
    <w:p>
      <w:pPr>
        <w:spacing w:before="120"/>
      </w:pPr>
    </w:p>
    <w:p>
      <w:pPr>
        <w:pStyle w:val="Heading2"/>
        <w:spacing w:after="120" w:before="240"/>
      </w:pPr>
      <w:r>
        <w:rPr>
          <w:rFonts w:ascii="Arial" w:cs="Arial" w:eastAsia="Arial" w:hAnsi="Arial"/>
          <w:b/>
          <w:bCs/>
          <w:color w:val="1F5C8B"/>
          <w:sz w:val="26"/>
          <w:szCs w:val="26"/>
        </w:rPr>
        <w:t xml:space="preserve">4.5 Graphe Cumulatif et État Persistant</w:t>
      </w:r>
    </w:p>
    <w:p>
      <w:pPr>
        <w:spacing w:after="80" w:before="80"/>
      </w:pPr>
      <w:r>
        <w:rPr>
          <w:rFonts w:ascii="Arial" w:cs="Arial" w:eastAsia="Arial" w:hAnsi="Arial"/>
          <w:sz w:val="22"/>
          <w:szCs w:val="22"/>
        </w:rPr>
        <w:t xml:space="preserve">Une amélioration majeure par rapport à une implémentation naïve : le graphe est cumulatif. À chaque micro-batch, l'état précédent est chargé depuis le disque, enrichi avec les nouveaux événements, puis sauvegardé. Cela garantit que le graphe reflète l'intégralité de l'historique des interactions depuis le démarrage du système, et non seulement le dernier batch de 5 secondes.</w:t>
      </w:r>
    </w:p>
    <w:p>
      <w:r>
        <w:br w:type="page"/>
      </w:r>
    </w:p>
    <w:p>
      <w:pPr>
        <w:pStyle w:val="Heading1"/>
        <w:spacing w:after="180" w:before="360"/>
      </w:pPr>
      <w:r>
        <w:rPr>
          <w:rFonts w:ascii="Arial" w:cs="Arial" w:eastAsia="Arial" w:hAnsi="Arial"/>
          <w:b/>
          <w:bCs/>
          <w:color w:val="2E75B6"/>
          <w:sz w:val="32"/>
          <w:szCs w:val="32"/>
        </w:rPr>
        <w:t xml:space="preserve">5. Dashboard de Visualisation Dynamique (app.py)</w:t>
      </w:r>
    </w:p>
    <w:p>
      <w:pPr>
        <w:pBdr>
          <w:bottom w:val="single" w:color="2E75B6" w:sz="6" w:space="1"/>
        </w:pBdr>
        <w:spacing w:after="120" w:before="120"/>
      </w:pPr>
    </w:p>
    <w:p>
      <w:pPr>
        <w:pStyle w:val="Heading2"/>
        <w:spacing w:after="120" w:before="240"/>
      </w:pPr>
      <w:r>
        <w:rPr>
          <w:rFonts w:ascii="Arial" w:cs="Arial" w:eastAsia="Arial" w:hAnsi="Arial"/>
          <w:b/>
          <w:bCs/>
          <w:color w:val="1F5C8B"/>
          <w:sz w:val="26"/>
          <w:szCs w:val="26"/>
        </w:rPr>
        <w:t xml:space="preserve">5.1 Choix Technologique : Dash + Cytoscape</w:t>
      </w:r>
    </w:p>
    <w:p>
      <w:pPr>
        <w:spacing w:after="80" w:before="80"/>
      </w:pPr>
      <w:r>
        <w:rPr>
          <w:rFonts w:ascii="Arial" w:cs="Arial" w:eastAsia="Arial" w:hAnsi="Arial"/>
          <w:sz w:val="22"/>
          <w:szCs w:val="22"/>
        </w:rPr>
        <w:t xml:space="preserve">Le dashboard est développé avec Dash (Plotly) et dash-cytoscape pour la visualisation de graphes. Ce choix est justifié par la richesse des fonctionnalités de visualisation de graphes de Cytoscape.js, sa compatibilité native avec Python/Dash, et sa capacité à gérer des graphes de grande taille avec des layouts automatiques.</w:t>
      </w:r>
    </w:p>
    <w:p>
      <w:pPr>
        <w:spacing w:before="120"/>
      </w:pPr>
    </w:p>
    <w:p>
      <w:pPr>
        <w:pStyle w:val="Heading2"/>
        <w:spacing w:after="120" w:before="240"/>
      </w:pPr>
      <w:r>
        <w:rPr>
          <w:rFonts w:ascii="Arial" w:cs="Arial" w:eastAsia="Arial" w:hAnsi="Arial"/>
          <w:b/>
          <w:bCs/>
          <w:color w:val="1F5C8B"/>
          <w:sz w:val="26"/>
          <w:szCs w:val="26"/>
        </w:rPr>
        <w:t xml:space="preserve">5.2 Politique de Rafraîchissement</w:t>
      </w:r>
    </w:p>
    <w:p>
      <w:pPr>
        <w:spacing w:after="80" w:before="80"/>
      </w:pPr>
      <w:r>
        <w:rPr>
          <w:rFonts w:ascii="Arial" w:cs="Arial" w:eastAsia="Arial" w:hAnsi="Arial"/>
          <w:sz w:val="22"/>
          <w:szCs w:val="22"/>
        </w:rPr>
        <w:t xml:space="preserve">Le composant dcc.Interval déclenche un callback toutes les 5 secondes (paramétrable), qui relit les fichiers JSON produits par Spark et reconstruit les éléments du graphe. Cette approche garantit que le dashboard reflète toujours l'état le plus récent du graphe.</w:t>
      </w:r>
    </w:p>
    <w:p>
      <w:pPr>
        <w:spacing w:before="120"/>
      </w:pPr>
    </w:p>
    <w:p>
      <w:pPr>
        <w:pStyle w:val="Heading2"/>
        <w:spacing w:after="120" w:before="240"/>
      </w:pPr>
      <w:r>
        <w:rPr>
          <w:rFonts w:ascii="Arial" w:cs="Arial" w:eastAsia="Arial" w:hAnsi="Arial"/>
          <w:b/>
          <w:bCs/>
          <w:color w:val="1F5C8B"/>
          <w:sz w:val="26"/>
          <w:szCs w:val="26"/>
        </w:rPr>
        <w:t xml:space="preserve">5.3 Représentation Visuelle</w:t>
      </w:r>
    </w:p>
    <w:p>
      <w:pPr>
        <w:pStyle w:val="ListParagraph"/>
        <w:numPr>
          <w:ilvl w:val="0"/>
          <w:numId w:val="2"/>
        </w:numPr>
        <w:spacing w:after="40" w:before="40"/>
      </w:pPr>
      <w:r>
        <w:rPr>
          <w:rFonts w:ascii="Arial" w:cs="Arial" w:eastAsia="Arial" w:hAnsi="Arial"/>
          <w:sz w:val="22"/>
          <w:szCs w:val="22"/>
        </w:rPr>
        <w:t xml:space="preserve">Nœuds Utilisateurs : cercles bleus (#4A90D9) — taille proportionnelle au degré</w:t>
      </w:r>
    </w:p>
    <w:p>
      <w:pPr>
        <w:pStyle w:val="ListParagraph"/>
        <w:numPr>
          <w:ilvl w:val="0"/>
          <w:numId w:val="2"/>
        </w:numPr>
        <w:spacing w:after="40" w:before="40"/>
      </w:pPr>
      <w:r>
        <w:rPr>
          <w:rFonts w:ascii="Arial" w:cs="Arial" w:eastAsia="Arial" w:hAnsi="Arial"/>
          <w:sz w:val="22"/>
          <w:szCs w:val="22"/>
        </w:rPr>
        <w:t xml:space="preserve">Nœuds Vendeurs : cercles rouges (#E74C3C) — taille proportionnelle au degré</w:t>
      </w:r>
    </w:p>
    <w:p>
      <w:pPr>
        <w:pStyle w:val="ListParagraph"/>
        <w:numPr>
          <w:ilvl w:val="0"/>
          <w:numId w:val="2"/>
        </w:numPr>
        <w:spacing w:after="40" w:before="40"/>
      </w:pPr>
      <w:r>
        <w:rPr>
          <w:rFonts w:ascii="Arial" w:cs="Arial" w:eastAsia="Arial" w:hAnsi="Arial"/>
          <w:sz w:val="22"/>
          <w:szCs w:val="22"/>
        </w:rPr>
        <w:t xml:space="preserve">Nœuds Produits : cercles verts (#2ECC71) — taille proportionnelle au degré</w:t>
      </w:r>
    </w:p>
    <w:p>
      <w:pPr>
        <w:pStyle w:val="ListParagraph"/>
        <w:numPr>
          <w:ilvl w:val="0"/>
          <w:numId w:val="2"/>
        </w:numPr>
        <w:spacing w:after="40" w:before="40"/>
      </w:pPr>
      <w:r>
        <w:rPr>
          <w:rFonts w:ascii="Arial" w:cs="Arial" w:eastAsia="Arial" w:hAnsi="Arial"/>
          <w:sz w:val="22"/>
          <w:szCs w:val="22"/>
        </w:rPr>
        <w:t xml:space="preserve">Arêtes AIME : orange — intérêt préliminaire</w:t>
      </w:r>
    </w:p>
    <w:p>
      <w:pPr>
        <w:pStyle w:val="ListParagraph"/>
        <w:numPr>
          <w:ilvl w:val="0"/>
          <w:numId w:val="2"/>
        </w:numPr>
        <w:spacing w:after="40" w:before="40"/>
      </w:pPr>
      <w:r>
        <w:rPr>
          <w:rFonts w:ascii="Arial" w:cs="Arial" w:eastAsia="Arial" w:hAnsi="Arial"/>
          <w:sz w:val="22"/>
          <w:szCs w:val="22"/>
        </w:rPr>
        <w:t xml:space="preserve">Arêtes VOUT : violet — intention d'achat</w:t>
      </w:r>
    </w:p>
    <w:p>
      <w:pPr>
        <w:pStyle w:val="ListParagraph"/>
        <w:numPr>
          <w:ilvl w:val="0"/>
          <w:numId w:val="2"/>
        </w:numPr>
        <w:spacing w:after="40" w:before="40"/>
      </w:pPr>
      <w:r>
        <w:rPr>
          <w:rFonts w:ascii="Arial" w:cs="Arial" w:eastAsia="Arial" w:hAnsi="Arial"/>
          <w:sz w:val="22"/>
          <w:szCs w:val="22"/>
        </w:rPr>
        <w:t xml:space="preserve">Arêtes ACHAT : rouge — transaction finalisée</w:t>
      </w:r>
    </w:p>
    <w:p>
      <w:pPr>
        <w:pStyle w:val="ListParagraph"/>
        <w:numPr>
          <w:ilvl w:val="0"/>
          <w:numId w:val="2"/>
        </w:numPr>
        <w:spacing w:after="40" w:before="40"/>
      </w:pPr>
      <w:r>
        <w:rPr>
          <w:rFonts w:ascii="Arial" w:cs="Arial" w:eastAsia="Arial" w:hAnsi="Arial"/>
          <w:sz w:val="22"/>
          <w:szCs w:val="22"/>
        </w:rPr>
        <w:t xml:space="preserve">Arêtes PROPOSE : gris — relation vendeur/produit</w:t>
      </w:r>
    </w:p>
    <w:p>
      <w:r>
        <w:br w:type="page"/>
      </w:r>
    </w:p>
    <w:p>
      <w:pPr>
        <w:pStyle w:val="Heading1"/>
        <w:spacing w:after="180" w:before="360"/>
      </w:pPr>
      <w:r>
        <w:rPr>
          <w:rFonts w:ascii="Arial" w:cs="Arial" w:eastAsia="Arial" w:hAnsi="Arial"/>
          <w:b/>
          <w:bCs/>
          <w:color w:val="2E75B6"/>
          <w:sz w:val="32"/>
          <w:szCs w:val="32"/>
        </w:rPr>
        <w:t xml:space="preserve">6. Métriques de Performance</w:t>
      </w:r>
    </w:p>
    <w:p>
      <w:pPr>
        <w:pBdr>
          <w:bottom w:val="single" w:color="2E75B6" w:sz="6" w:space="1"/>
        </w:pBdr>
        <w:spacing w:after="120" w:before="120"/>
      </w:pPr>
    </w:p>
    <w:p>
      <w:pPr>
        <w:spacing w:after="120" w:before="1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50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 observée</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Fréquence de génération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à 2 événements/s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Paramétrable via time.sleep()</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Latence de traitement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5 secondes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Durée d'un micro-batch Spark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Fenêtre temporelle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30s glissantes / pas 10s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Sliding Window optimale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Tolérance aux retards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 secondes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Watermark configuré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Partitions shuffle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Optimisé pour machine locale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Rafraîchissement dashboard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 secondes</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Paramétrable via dcc.Interval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Croissance du graphe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nœuds/batch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Dépend du nb d'entités distinctes</w:t>
            </w:r>
          </w:p>
        </w:tc>
      </w:tr>
    </w:tbl>
    <w:p>
      <w:pPr>
        <w:spacing w:after="120" w:before="120"/>
      </w:pPr>
    </w:p>
    <w:p>
      <w:r>
        <w:br w:type="page"/>
      </w:r>
    </w:p>
    <w:p>
      <w:pPr>
        <w:pStyle w:val="Heading1"/>
        <w:spacing w:after="180" w:before="360"/>
      </w:pPr>
      <w:r>
        <w:rPr>
          <w:rFonts w:ascii="Arial" w:cs="Arial" w:eastAsia="Arial" w:hAnsi="Arial"/>
          <w:b/>
          <w:bCs/>
          <w:color w:val="2E75B6"/>
          <w:sz w:val="32"/>
          <w:szCs w:val="32"/>
        </w:rPr>
        <w:t xml:space="preserve">7. Conclusion</w:t>
      </w:r>
    </w:p>
    <w:p>
      <w:pPr>
        <w:pBdr>
          <w:bottom w:val="single" w:color="2E75B6" w:sz="6" w:space="1"/>
        </w:pBdr>
        <w:spacing w:after="120" w:before="120"/>
      </w:pPr>
    </w:p>
    <w:p>
      <w:pPr>
        <w:spacing w:after="80" w:before="80"/>
      </w:pPr>
      <w:r>
        <w:rPr>
          <w:rFonts w:ascii="Arial" w:cs="Arial" w:eastAsia="Arial" w:hAnsi="Arial"/>
          <w:sz w:val="22"/>
          <w:szCs w:val="22"/>
        </w:rPr>
        <w:t xml:space="preserve">Ce projet implémente une architecture Big Data complète de bout en bout, depuis la génération d'un flux de données simulé jusqu'à la visualisation dynamique d'un graphe de connexions en temps réel.</w:t>
      </w:r>
    </w:p>
    <w:p>
      <w:pPr>
        <w:spacing w:after="80" w:before="80"/>
      </w:pPr>
      <w:r>
        <w:rPr>
          <w:rFonts w:ascii="Arial" w:cs="Arial" w:eastAsia="Arial" w:hAnsi="Arial"/>
          <w:sz w:val="22"/>
          <w:szCs w:val="22"/>
        </w:rPr>
        <w:t xml:space="preserve">Les concepts clés de PySpark Structured Streaming ont été appliqués et justifiés : Schema Enforcement pour la performance, Sliding Window pour la précision temporelle, Watermarking pour la gestion de la mémoire, et Output Mode Update pour l'efficacité des émissions.</w:t>
      </w:r>
    </w:p>
    <w:p>
      <w:pPr>
        <w:spacing w:after="80" w:before="80"/>
      </w:pPr>
      <w:r>
        <w:rPr>
          <w:rFonts w:ascii="Arial" w:cs="Arial" w:eastAsia="Arial" w:hAnsi="Arial"/>
          <w:sz w:val="22"/>
          <w:szCs w:val="22"/>
        </w:rPr>
        <w:t>Le modèle de graphe implémenté utilise la bibliothèque GraphFrames (0.8.4-spark3.5-s_2.12) avec ses deux algorithmes principaux : connectedComponents() pour identifier les groupes d'entités interconnectées, et pageRank() pour mesurer l'importance relative de chaque nœud. Le score PageRank est visualisé directement dans le dashboard via la taille des nœuds.</w:t>
      </w:r>
    </w:p>
    <w:p>
      <w:pPr>
        <w:spacing w:after="80" w:before="80"/>
      </w:pPr>
      <w:r>
        <w:rPr>
          <w:rFonts w:ascii="Arial" w:cs="Arial" w:eastAsia="Arial" w:hAnsi="Arial"/>
          <w:sz w:val="22"/>
          <w:szCs w:val="22"/>
        </w:rPr>
        <w:t xml:space="preserve">L'architecture finale démontre la puissance du traitement distribué en mémoire de Spark par rapport aux approches traditionnelles MapReduce, avec une latence de traitement inférieure à 5 secondes sur des flux continus.</w:t>
      </w:r>
    </w:p>
    <w:p>
      <w:pPr>
        <w:spacing w:before="240"/>
      </w:pPr>
    </w:p>
    <w:p>
      <w:pPr>
        <w:pBdr>
          <w:bottom w:val="single" w:color="2E75B6" w:sz="6" w:space="1"/>
        </w:pBdr>
        <w:spacing w:after="120" w:before="120"/>
      </w:pPr>
    </w:p>
    <w:p>
      <w:pPr>
        <w:spacing w:before="120"/>
        <w:jc w:val="center"/>
      </w:pPr>
      <w:r>
        <w:rPr>
          <w:rFonts w:ascii="Arial" w:cs="Arial" w:eastAsia="Arial" w:hAnsi="Arial"/>
          <w:color w:val="888888"/>
          <w:sz w:val="18"/>
          <w:szCs w:val="18"/>
        </w:rPr>
        <w:t xml:space="preserve">CY Tech — ING1 — Module Big Data —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8B"/>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2026-06-02T15:42:44.727Z</dcterms:created>
  <dcterms:modified xsi:type="dcterms:W3CDTF">2026-06-02T15:42:44.727Z</dcterms:modified>
</cp:coreProperties>
</file>

<file path=docProps/custom.xml><?xml version="1.0" encoding="utf-8"?>
<Properties xmlns="http://schemas.openxmlformats.org/officeDocument/2006/custom-properties" xmlns:vt="http://schemas.openxmlformats.org/officeDocument/2006/docPropsVTypes"/>
</file>