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82DF8" w14:textId="77777777" w:rsidR="000A0D24" w:rsidRPr="000A0D24" w:rsidRDefault="000A0D24" w:rsidP="000A0D24">
      <w:pPr>
        <w:spacing w:before="360" w:after="120" w:line="240" w:lineRule="auto"/>
        <w:outlineLvl w:val="1"/>
        <w:rPr>
          <w:rFonts w:ascii="Times New Roman" w:eastAsia="Times New Roman" w:hAnsi="Times New Roman" w:cs="Times New Roman"/>
          <w:b/>
          <w:bCs/>
          <w:kern w:val="0"/>
          <w:sz w:val="36"/>
          <w:szCs w:val="36"/>
          <w:lang w:eastAsia="en-GB"/>
          <w14:ligatures w14:val="none"/>
        </w:rPr>
      </w:pPr>
      <w:r w:rsidRPr="000A0D24">
        <w:rPr>
          <w:rFonts w:ascii="Arial" w:eastAsia="Times New Roman" w:hAnsi="Arial" w:cs="Arial"/>
          <w:color w:val="000000"/>
          <w:kern w:val="0"/>
          <w:sz w:val="32"/>
          <w:szCs w:val="32"/>
          <w:lang w:eastAsia="en-GB"/>
          <w14:ligatures w14:val="none"/>
        </w:rPr>
        <w:t>Introduktion</w:t>
      </w:r>
    </w:p>
    <w:p w14:paraId="48385BBC"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Motivation </w:t>
      </w:r>
    </w:p>
    <w:p w14:paraId="35241091"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Salesforce udgør i dag rygraden i den daglige kundebehandling for et betydeligt antal danske og internationale virksomheder, og platformens datalag indeholder per definition store mængder personoplysninger: kontaktinformation, korrespondance, sagshistorik og økonomiske oplysninger. Når en sådan organisation skal udvikle, teste eller fejlsøge sine processer, sker det sjældent i selve produktionsmiljøet. I stedet tages en kopi af produktionsdata over i et eller flere sandbox-miljøer, hvor udviklere, konsulenter og testere kan arbejde uden at risikere at forstyrre den daglige drift.</w:t>
      </w:r>
    </w:p>
    <w:p w14:paraId="439C5947"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6019C106"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Denne praksis indebærer et fundamentalt problem: i samme øjeblik produktionsdata kopieres ind i et sandboxmiljø, indtræder dataene i en kontekst med markant lavere adgangskontrol, færre ledelsesgodkendte sikkerhedslag og typisk en bredere kreds af brugere - herunder tredjepartskonsulenter - end produktionsmiljøet ville tillade. </w:t>
      </w:r>
    </w:p>
    <w:p w14:paraId="570EE0EA"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70D753C3"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 xml:space="preserve">Manglen på disse indbyggede kontrolpunkter betyder, at organisationer i praksis må vælge mellem fire ufuldkomne strategier. For det første kan de undlade helt at kopiere produktionsdata til sandboxes og arbejde med syntetiske datasæt, det er den teknisk reneste vej, men fungere ikke altid i praksis, fordi syntetiske data ikke altid er god nok til at reproducerer edge cases, der trigger reelle fejl i forretningslogikken. For det andet kan de anskaffe kommercielle masking-produkter fra </w:t>
      </w:r>
      <w:r w:rsidRPr="000A0D24">
        <w:rPr>
          <w:rFonts w:ascii="Arial" w:eastAsia="Times New Roman" w:hAnsi="Arial" w:cs="Arial"/>
          <w:color w:val="FF0000"/>
          <w:kern w:val="0"/>
          <w:sz w:val="22"/>
          <w:szCs w:val="22"/>
          <w:lang w:eastAsia="en-GB"/>
          <w14:ligatures w14:val="none"/>
        </w:rPr>
        <w:t>Salesforces eget AppExchange - Salesforce Data Mask, Own / Keepit, Odaseva, Gearset, Prodly eller Cloud Compliance DataMasker - som alle fungerer ved at overskrive følsomme felter efter kopiering. </w:t>
      </w:r>
    </w:p>
    <w:p w14:paraId="0FB5491E"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 xml:space="preserve">Disse produkter fungere oftest på abonnementsbasis og er funktionelt orienteret mod store enterprise-kunder. </w:t>
      </w:r>
      <w:r w:rsidRPr="000A0D24">
        <w:rPr>
          <w:rFonts w:ascii="Arial" w:eastAsia="Times New Roman" w:hAnsi="Arial" w:cs="Arial"/>
          <w:color w:val="FF0000"/>
          <w:kern w:val="0"/>
          <w:sz w:val="22"/>
          <w:szCs w:val="22"/>
          <w:lang w:eastAsia="en-GB"/>
          <w14:ligatures w14:val="none"/>
        </w:rPr>
        <w:t>For det tredje kan de aktivere Salesforces egen Shield Platform Encryption, </w:t>
      </w:r>
    </w:p>
    <w:p w14:paraId="38C2BF51"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223261D7"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For det fjerde kan de bygge en egen løsning ved hjælp af platformens fri-tier-primitiver: SandboxPostCopy-interfacet, formelfelter med rettighedsstyring, Apex-controllere bag Lightning Web Components, og Custom Metadata Types til konfigurationsstyring. Som dette projekt kigger ind på.</w:t>
      </w:r>
    </w:p>
    <w:p w14:paraId="01E03FAA"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12F705F9"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Problemformulering</w:t>
      </w:r>
    </w:p>
    <w:p w14:paraId="29ACD131"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Projektets problemforulering er som følgende:</w:t>
      </w:r>
    </w:p>
    <w:p w14:paraId="65E203F7"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2ABEF94B"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i/>
          <w:iCs/>
          <w:color w:val="000000"/>
          <w:kern w:val="0"/>
          <w:sz w:val="22"/>
          <w:szCs w:val="22"/>
          <w:lang w:eastAsia="en-GB"/>
          <w14:ligatures w14:val="none"/>
        </w:rPr>
        <w:t>Hvordan kan en organisation designe, implementere og validere en datamasking-løsning i Salesforce, der reducerer risikoen for eksponering af personfølsomme data i ikke-produktionsmiljøer, uden at kompromittere datakvalitet og forretningskritiske testscenarier — og hvordan kan løsningen dokumenteres og automatiseres for at sikre compliance og effektiv drift?</w:t>
      </w:r>
    </w:p>
    <w:p w14:paraId="7B6E6E8F"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56946C9E"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Spørgsmålet rummer seks dimensioner, der hver især strukturerer en del af den efterfølgende undersøgelse. De er listet i tabel 1.1 og udfoldes som selvstændige under-forskningsspørgsmål (SRQ1–SRQ6) </w:t>
      </w:r>
    </w:p>
    <w:p w14:paraId="1717CF3B" w14:textId="77777777" w:rsidR="000A0D24" w:rsidRPr="000A0D24" w:rsidRDefault="000A0D24" w:rsidP="000A0D24">
      <w:pPr>
        <w:spacing w:after="240" w:line="240" w:lineRule="auto"/>
        <w:rPr>
          <w:rFonts w:ascii="Times New Roman" w:eastAsia="Times New Roman" w:hAnsi="Times New Roman" w:cs="Times New Roman"/>
          <w:kern w:val="0"/>
          <w:lang w:eastAsia="en-GB"/>
          <w14:ligatures w14:val="none"/>
        </w:rPr>
      </w:pPr>
      <w:r w:rsidRPr="000A0D24">
        <w:rPr>
          <w:rFonts w:ascii="Times New Roman" w:eastAsia="Times New Roman" w:hAnsi="Times New Roman" w:cs="Times New Roman"/>
          <w:kern w:val="0"/>
          <w:lang w:eastAsia="en-GB"/>
          <w14:ligatures w14:val="none"/>
        </w:rPr>
        <w:br/>
      </w:r>
    </w:p>
    <w:tbl>
      <w:tblPr>
        <w:tblW w:w="9026" w:type="dxa"/>
        <w:tblCellMar>
          <w:top w:w="15" w:type="dxa"/>
          <w:left w:w="15" w:type="dxa"/>
          <w:bottom w:w="15" w:type="dxa"/>
          <w:right w:w="15" w:type="dxa"/>
        </w:tblCellMar>
        <w:tblLook w:val="04A0" w:firstRow="1" w:lastRow="0" w:firstColumn="1" w:lastColumn="0" w:noHBand="0" w:noVBand="1"/>
      </w:tblPr>
      <w:tblGrid>
        <w:gridCol w:w="6153"/>
        <w:gridCol w:w="2873"/>
      </w:tblGrid>
      <w:tr w:rsidR="000A0D24" w:rsidRPr="000A0D24" w14:paraId="3124D4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5B825"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lastRenderedPageBreak/>
              <w:t>Dimension i RQ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60F46"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Sub-research question</w:t>
            </w:r>
          </w:p>
        </w:tc>
      </w:tr>
      <w:tr w:rsidR="000A0D24" w:rsidRPr="000A0D24" w14:paraId="336FC1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ED989"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Designe en masking-løsning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C5183"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SRQ1 - Design</w:t>
            </w:r>
          </w:p>
        </w:tc>
      </w:tr>
      <w:tr w:rsidR="000A0D24" w:rsidRPr="000A0D24" w14:paraId="6063AD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F181B"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Implementere 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CA570"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SRQ2  - Implementation</w:t>
            </w:r>
          </w:p>
        </w:tc>
      </w:tr>
      <w:tr w:rsidR="000A0D24" w:rsidRPr="000A0D24" w14:paraId="68164B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4E6D6"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Validere 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894EE"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SRQ3 - Validation</w:t>
            </w:r>
          </w:p>
        </w:tc>
      </w:tr>
      <w:tr w:rsidR="000A0D24" w:rsidRPr="000A0D24" w14:paraId="0BAD96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EFDF4"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Bevare datakvalitet og forretningskritiske testscenarier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15D85"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SRQ4 - Utility</w:t>
            </w:r>
          </w:p>
        </w:tc>
      </w:tr>
      <w:tr w:rsidR="000A0D24" w:rsidRPr="000A0D24" w14:paraId="0450AE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154CD"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Dokumentere den med henblik på compliance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EF02D"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SRQ5 - Documentation</w:t>
            </w:r>
          </w:p>
        </w:tc>
      </w:tr>
      <w:tr w:rsidR="000A0D24" w:rsidRPr="000A0D24" w14:paraId="5FC37F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59757"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Automatisere den for effektiv drift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BB3F4"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SRQ6 - Automation</w:t>
            </w:r>
          </w:p>
        </w:tc>
      </w:tr>
    </w:tbl>
    <w:p w14:paraId="69F355B0" w14:textId="77777777" w:rsidR="000A0D24" w:rsidRPr="000A0D24" w:rsidRDefault="000A0D24" w:rsidP="000A0D24">
      <w:pPr>
        <w:spacing w:after="240" w:line="240" w:lineRule="auto"/>
        <w:rPr>
          <w:rFonts w:ascii="Times New Roman" w:eastAsia="Times New Roman" w:hAnsi="Times New Roman" w:cs="Times New Roman"/>
          <w:kern w:val="0"/>
          <w:lang w:eastAsia="en-GB"/>
          <w14:ligatures w14:val="none"/>
        </w:rPr>
      </w:pPr>
    </w:p>
    <w:p w14:paraId="372B2771"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Afgrænsning</w:t>
      </w:r>
    </w:p>
    <w:p w14:paraId="0D94E01D"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236665A5"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b/>
          <w:bCs/>
          <w:color w:val="000000"/>
          <w:kern w:val="0"/>
          <w:sz w:val="22"/>
          <w:szCs w:val="22"/>
          <w:lang w:eastAsia="en-GB"/>
          <w14:ligatures w14:val="none"/>
        </w:rPr>
        <w:t>Platform udgave</w:t>
      </w:r>
      <w:r w:rsidRPr="000A0D24">
        <w:rPr>
          <w:rFonts w:ascii="Arial" w:eastAsia="Times New Roman" w:hAnsi="Arial" w:cs="Arial"/>
          <w:color w:val="000000"/>
          <w:kern w:val="0"/>
          <w:sz w:val="22"/>
          <w:szCs w:val="22"/>
          <w:lang w:eastAsia="en-GB"/>
          <w14:ligatures w14:val="none"/>
        </w:rPr>
        <w:t>. Projektet er bygget og deployeret i et rigtigt Salesforce Sandbox-miljø. Sandboxen er teknisk en kopi af produktionsorgen, men uden datalaget - alt metadata (objekter, felter, validation rules, flows, permission sets) følger med, mens records ikke gør. Derfor har det være nødvendigt at seede falsk data ind, som er afgrænset til salgsrelaterede objekter: Accounts, Contacts, Leads og Opportunities. Det er objekter, hvor projektets relevante PII-kategorier - navn, e-mail, telefon, adresse, kortdata, IBAN og løninformation -tilsammen optræder, og som dermed udgør et tilstrækkeligt repræsentativt grundlag til projektet.</w:t>
      </w:r>
    </w:p>
    <w:p w14:paraId="2A562BC2"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46D96986" w14:textId="19D72692"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b/>
          <w:bCs/>
          <w:color w:val="000000"/>
          <w:kern w:val="0"/>
          <w:sz w:val="22"/>
          <w:szCs w:val="22"/>
          <w:lang w:eastAsia="en-GB"/>
          <w14:ligatures w14:val="none"/>
        </w:rPr>
        <w:t>Refresh-cyklus</w:t>
      </w:r>
      <w:r w:rsidRPr="000A0D24">
        <w:rPr>
          <w:rFonts w:ascii="Arial" w:eastAsia="Times New Roman" w:hAnsi="Arial" w:cs="Arial"/>
          <w:color w:val="000000"/>
          <w:kern w:val="0"/>
          <w:sz w:val="22"/>
          <w:szCs w:val="22"/>
          <w:lang w:eastAsia="en-GB"/>
          <w14:ligatures w14:val="none"/>
        </w:rPr>
        <w:t>. Salesforce tilbyder en refresh-funktion, der nulstiller en sandbox til en frisk kopi af produktionen. Denne funktion har ikke været tilgængelig inden for projektets rammer, da adgang til den underliggende produktion ikke var en del af opsætningen. Refresh-cyklussen er den mekanisme, hvor Salesforce automatisk kan køre et Apex-script efter kopi via SandboxPostCopy-interfacet</w:t>
      </w:r>
      <w:sdt>
        <w:sdtPr>
          <w:rPr>
            <w:rFonts w:ascii="Arial" w:eastAsia="Times New Roman" w:hAnsi="Arial" w:cs="Arial"/>
            <w:color w:val="000000"/>
            <w:kern w:val="0"/>
            <w:sz w:val="22"/>
            <w:szCs w:val="22"/>
            <w:lang w:eastAsia="en-GB"/>
            <w14:ligatures w14:val="none"/>
          </w:rPr>
          <w:id w:val="-1928877050"/>
          <w:citation/>
        </w:sdtPr>
        <w:sdtContent>
          <w:r>
            <w:rPr>
              <w:rFonts w:ascii="Arial" w:eastAsia="Times New Roman" w:hAnsi="Arial" w:cs="Arial"/>
              <w:color w:val="000000"/>
              <w:kern w:val="0"/>
              <w:sz w:val="22"/>
              <w:szCs w:val="22"/>
              <w:lang w:eastAsia="en-GB"/>
              <w14:ligatures w14:val="none"/>
            </w:rPr>
            <w:fldChar w:fldCharType="begin"/>
          </w:r>
          <w:r>
            <w:rPr>
              <w:rFonts w:ascii="Arial" w:eastAsia="Times New Roman" w:hAnsi="Arial" w:cs="Arial"/>
              <w:color w:val="000000"/>
              <w:kern w:val="0"/>
              <w:sz w:val="22"/>
              <w:szCs w:val="22"/>
              <w:lang w:val="da-DK" w:eastAsia="en-GB"/>
              <w14:ligatures w14:val="none"/>
            </w:rPr>
            <w:instrText xml:space="preserve"> CITATION Sal \l 1030 </w:instrText>
          </w:r>
          <w:r>
            <w:rPr>
              <w:rFonts w:ascii="Arial" w:eastAsia="Times New Roman" w:hAnsi="Arial" w:cs="Arial"/>
              <w:color w:val="000000"/>
              <w:kern w:val="0"/>
              <w:sz w:val="22"/>
              <w:szCs w:val="22"/>
              <w:lang w:eastAsia="en-GB"/>
              <w14:ligatures w14:val="none"/>
            </w:rPr>
            <w:fldChar w:fldCharType="separate"/>
          </w:r>
          <w:r>
            <w:rPr>
              <w:rFonts w:ascii="Arial" w:eastAsia="Times New Roman" w:hAnsi="Arial" w:cs="Arial"/>
              <w:noProof/>
              <w:color w:val="000000"/>
              <w:kern w:val="0"/>
              <w:sz w:val="22"/>
              <w:szCs w:val="22"/>
              <w:lang w:val="da-DK" w:eastAsia="en-GB"/>
              <w14:ligatures w14:val="none"/>
            </w:rPr>
            <w:t xml:space="preserve"> </w:t>
          </w:r>
          <w:r w:rsidRPr="000A0D24">
            <w:rPr>
              <w:rFonts w:ascii="Arial" w:eastAsia="Times New Roman" w:hAnsi="Arial" w:cs="Arial"/>
              <w:noProof/>
              <w:color w:val="000000"/>
              <w:kern w:val="0"/>
              <w:sz w:val="22"/>
              <w:szCs w:val="22"/>
              <w:lang w:val="da-DK" w:eastAsia="en-GB"/>
              <w14:ligatures w14:val="none"/>
            </w:rPr>
            <w:t>(Salesforce, u.d.)</w:t>
          </w:r>
          <w:r>
            <w:rPr>
              <w:rFonts w:ascii="Arial" w:eastAsia="Times New Roman" w:hAnsi="Arial" w:cs="Arial"/>
              <w:color w:val="000000"/>
              <w:kern w:val="0"/>
              <w:sz w:val="22"/>
              <w:szCs w:val="22"/>
              <w:lang w:eastAsia="en-GB"/>
              <w14:ligatures w14:val="none"/>
            </w:rPr>
            <w:fldChar w:fldCharType="end"/>
          </w:r>
        </w:sdtContent>
      </w:sdt>
      <w:r w:rsidRPr="000A0D24">
        <w:rPr>
          <w:rFonts w:ascii="Arial" w:eastAsia="Times New Roman" w:hAnsi="Arial" w:cs="Arial"/>
          <w:color w:val="000000"/>
          <w:kern w:val="0"/>
          <w:sz w:val="22"/>
          <w:szCs w:val="22"/>
          <w:lang w:eastAsia="en-GB"/>
          <w14:ligatures w14:val="none"/>
        </w:rPr>
        <w:t xml:space="preserve">, og som projektets SanitizeData-klasse er designet til at blive trigget af. Manglen på refresh-adgang omgås ved at eksekvere det samme script direkte i sandboxen efter oprettelse; dette behandles nærmere i </w:t>
      </w:r>
      <w:r w:rsidRPr="000A0D24">
        <w:rPr>
          <w:rFonts w:ascii="Arial" w:eastAsia="Times New Roman" w:hAnsi="Arial" w:cs="Arial"/>
          <w:color w:val="FF0000"/>
          <w:kern w:val="0"/>
          <w:sz w:val="22"/>
          <w:szCs w:val="22"/>
          <w:lang w:eastAsia="en-GB"/>
          <w14:ligatures w14:val="none"/>
        </w:rPr>
        <w:t>kapitel [X]</w:t>
      </w:r>
      <w:r w:rsidRPr="000A0D24">
        <w:rPr>
          <w:rFonts w:ascii="Arial" w:eastAsia="Times New Roman" w:hAnsi="Arial" w:cs="Arial"/>
          <w:color w:val="000000"/>
          <w:kern w:val="0"/>
          <w:sz w:val="22"/>
          <w:szCs w:val="22"/>
          <w:lang w:eastAsia="en-GB"/>
          <w14:ligatures w14:val="none"/>
        </w:rPr>
        <w:t>.</w:t>
      </w:r>
    </w:p>
    <w:p w14:paraId="1DB20E6D"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52E02FC8" w14:textId="79EF5E91"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b/>
          <w:bCs/>
          <w:color w:val="000000"/>
          <w:kern w:val="0"/>
          <w:sz w:val="22"/>
          <w:szCs w:val="22"/>
          <w:lang w:eastAsia="en-GB"/>
          <w14:ligatures w14:val="none"/>
        </w:rPr>
        <w:t>Ikke-destruktiv maskering</w:t>
      </w:r>
      <w:r w:rsidRPr="000A0D24">
        <w:rPr>
          <w:rFonts w:ascii="Arial" w:eastAsia="Times New Roman" w:hAnsi="Arial" w:cs="Arial"/>
          <w:color w:val="000000"/>
          <w:kern w:val="0"/>
          <w:sz w:val="22"/>
          <w:szCs w:val="22"/>
          <w:lang w:eastAsia="en-GB"/>
          <w14:ligatures w14:val="none"/>
        </w:rPr>
        <w:t xml:space="preserve">. Den sidste afgrænsning er principiel: masking-løsningen modificerer ikke de underliggende records. Det originale data skal altid være tilgængeligt for de brugere, der har eksplicit ret til at se det, mens øvrige brugere præsenteres for et maskeret view af samme datasæt. Konsekvensen er, at klassiske post-copy-erstatnings-strategier </w:t>
      </w:r>
      <w:r>
        <w:rPr>
          <w:rFonts w:ascii="Arial" w:eastAsia="Times New Roman" w:hAnsi="Arial" w:cs="Arial"/>
          <w:color w:val="000000"/>
          <w:kern w:val="0"/>
          <w:sz w:val="22"/>
          <w:szCs w:val="22"/>
          <w:lang w:eastAsia="en-GB"/>
          <w14:ligatures w14:val="none"/>
        </w:rPr>
        <w:t>-</w:t>
      </w:r>
      <w:r w:rsidRPr="000A0D24">
        <w:rPr>
          <w:rFonts w:ascii="Arial" w:eastAsia="Times New Roman" w:hAnsi="Arial" w:cs="Arial"/>
          <w:color w:val="000000"/>
          <w:kern w:val="0"/>
          <w:sz w:val="22"/>
          <w:szCs w:val="22"/>
          <w:lang w:eastAsia="en-GB"/>
          <w14:ligatures w14:val="none"/>
        </w:rPr>
        <w:t xml:space="preserve"> som de bruges af det kommercielle Salesforce Data Mask </w:t>
      </w:r>
      <w:r>
        <w:rPr>
          <w:rFonts w:ascii="Arial" w:eastAsia="Times New Roman" w:hAnsi="Arial" w:cs="Arial"/>
          <w:color w:val="000000"/>
          <w:kern w:val="0"/>
          <w:sz w:val="22"/>
          <w:szCs w:val="22"/>
          <w:lang w:eastAsia="en-GB"/>
          <w14:ligatures w14:val="none"/>
        </w:rPr>
        <w:t>-</w:t>
      </w:r>
      <w:r w:rsidRPr="000A0D24">
        <w:rPr>
          <w:rFonts w:ascii="Arial" w:eastAsia="Times New Roman" w:hAnsi="Arial" w:cs="Arial"/>
          <w:color w:val="000000"/>
          <w:kern w:val="0"/>
          <w:sz w:val="22"/>
          <w:szCs w:val="22"/>
          <w:lang w:eastAsia="en-GB"/>
          <w14:ligatures w14:val="none"/>
        </w:rPr>
        <w:t xml:space="preserve"> fravælges som hovedstrategi, og at masking i stedet håndhæves i præsentations- og eksportlaget. Eneste undtagelse er SanitizeData-klassen, som overskriver et begrænset sæt strukturerede felter (e-mail og telefon) umiddelbart efter sandbox-refresh</w:t>
      </w:r>
      <w:r>
        <w:rPr>
          <w:rFonts w:ascii="Arial" w:eastAsia="Times New Roman" w:hAnsi="Arial" w:cs="Arial"/>
          <w:color w:val="000000"/>
          <w:kern w:val="0"/>
          <w:sz w:val="22"/>
          <w:szCs w:val="22"/>
          <w:lang w:eastAsia="en-GB"/>
          <w14:ligatures w14:val="none"/>
        </w:rPr>
        <w:t>,</w:t>
      </w:r>
      <w:r w:rsidRPr="000A0D24">
        <w:rPr>
          <w:rFonts w:ascii="Arial" w:eastAsia="Times New Roman" w:hAnsi="Arial" w:cs="Arial"/>
          <w:color w:val="000000"/>
          <w:kern w:val="0"/>
          <w:sz w:val="22"/>
          <w:szCs w:val="22"/>
          <w:lang w:eastAsia="en-GB"/>
          <w14:ligatures w14:val="none"/>
        </w:rPr>
        <w:t xml:space="preserve"> den placeres i projektets infrastrukturlag snarere end i selve masking-arkitekturen, fordi dens formål er engangs-oprydning efter kopi, ikke løbende rolle-baseret styring af synlighed.</w:t>
      </w:r>
    </w:p>
    <w:p w14:paraId="7D95F0BB" w14:textId="77777777" w:rsidR="000A0D24" w:rsidRPr="000A0D24" w:rsidRDefault="000A0D24" w:rsidP="000A0D24">
      <w:pPr>
        <w:spacing w:after="240" w:line="240" w:lineRule="auto"/>
        <w:rPr>
          <w:rFonts w:ascii="Times New Roman" w:eastAsia="Times New Roman" w:hAnsi="Times New Roman" w:cs="Times New Roman"/>
          <w:kern w:val="0"/>
          <w:lang w:eastAsia="en-GB"/>
          <w14:ligatures w14:val="none"/>
        </w:rPr>
      </w:pPr>
    </w:p>
    <w:p w14:paraId="7C413768"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Kapitel 2 — Baggrund og state of the art (5–6 sider)</w:t>
      </w:r>
    </w:p>
    <w:p w14:paraId="6CF78C30" w14:textId="77777777" w:rsidR="000A0D24" w:rsidRPr="000A0D24" w:rsidRDefault="000A0D24" w:rsidP="000A0D2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2.1 Salesforce-platformen. Kort om sObjects, Apex, LWC, sandboxes, FLS, custom permissions, Custom Metadata Types </w:t>
      </w:r>
    </w:p>
    <w:p w14:paraId="6FC9ED91" w14:textId="77777777" w:rsidR="000A0D24" w:rsidRPr="000A0D24" w:rsidRDefault="000A0D24" w:rsidP="000A0D2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lastRenderedPageBreak/>
        <w:t>2.3 Begrebsafklaring: maskering vs. kryptering vs. pseudonymisering. Brug THESIS_NOTES 2026-04-17 ordret. Citér EDPB 01/2025 for den juridiske status af pseudonymiserede data.</w:t>
      </w:r>
    </w:p>
    <w:p w14:paraId="30ABD5AD" w14:textId="77777777" w:rsidR="000A0D24" w:rsidRPr="000A0D24" w:rsidRDefault="000A0D24" w:rsidP="000A0D2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2.4 Akademiske rødder. Sweeney 1997+2002 (k-anonymity), Machanavajjhala 2007 (l-diversity), Li 2007 (t-closeness), Dwork 2006 (differential privacy), Narayanan &amp; Shmatikov 2008 (re-identifikation). Cavoukian 2009, Gürses et al. 2011, Hoepman 2014 for PbD.</w:t>
      </w:r>
    </w:p>
    <w:p w14:paraId="4B312D62" w14:textId="77777777" w:rsidR="000A0D24" w:rsidRPr="000A0D24" w:rsidRDefault="000A0D24" w:rsidP="000A0D2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2.5 Salesforces tre native maskeringsprodukter. Direkte fra THESIS_NOTES 2026-04-17 — Data Mask &amp; Seed, Data Cloud Dynamic Data Masking, Einstein Trust Layer Data Masking. Konklusion: ingen af dem dækker standard CRM-rapporter.</w:t>
      </w:r>
    </w:p>
    <w:p w14:paraId="38A6D2C8" w14:textId="77777777" w:rsidR="000A0D24" w:rsidRPr="000A0D24" w:rsidRDefault="000A0D24" w:rsidP="000A0D2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2.6 AppExchange-landskabet og syntetiske alternativer. Sammenfat THESIS_NOTES 2026-04-24 — seks vendors plus Salesforce CRMArena ODG som syntetisk alternativ.</w:t>
      </w:r>
    </w:p>
    <w:p w14:paraId="72F115C0" w14:textId="77777777" w:rsidR="000A0D24" w:rsidRPr="000A0D24" w:rsidRDefault="000A0D24" w:rsidP="000A0D2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2.7 Forskningshul. Eksplicit konklusion: defense-in-depth med fri-tier-primitiver er underbeskrevet i både industri- og akademisk litteratur.</w:t>
      </w:r>
    </w:p>
    <w:p w14:paraId="25DC5173"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Kapitel 3 — Metode (2–3 sider)</w:t>
      </w:r>
    </w:p>
    <w:p w14:paraId="102D756F" w14:textId="77777777" w:rsidR="000A0D24" w:rsidRPr="000A0D24" w:rsidRDefault="000A0D24" w:rsidP="000A0D24">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3.1 DSRM (Peffers et al. 2008). De seks faser, hvorfor problem-centred initiation passer her, hvordan iterationer logges (henvis til DSRM_LOG.md som artefakt).</w:t>
      </w:r>
    </w:p>
    <w:p w14:paraId="3AFECFD5" w14:textId="77777777" w:rsidR="000A0D24" w:rsidRPr="000A0D24" w:rsidRDefault="000A0D24" w:rsidP="000A0D24">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3.2 Agile Testing Quadrants. Q1 (unit), Q2 (acceptance), Q3 (adversarial), Q4 (non-functional). Forklar hvorfor rammen er relevant for et privacy-kontrolsystem (THESIS_NOTES 2026-04-14).</w:t>
      </w:r>
    </w:p>
    <w:p w14:paraId="5C77F42C" w14:textId="77777777" w:rsidR="000A0D24" w:rsidRPr="000A0D24" w:rsidRDefault="000A0D24" w:rsidP="000A0D24">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3.3 Evalueringskriterier per SRQ. Tabel direkte fra THESIS_FRAMEWORK §1.</w:t>
      </w:r>
    </w:p>
    <w:p w14:paraId="00DF1501" w14:textId="77777777" w:rsidR="000A0D24" w:rsidRPr="000A0D24" w:rsidRDefault="000A0D24" w:rsidP="000A0D24">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3.4 Begrænsninger ved metoden. Trailhead-org ingen sandboxes til at teste post-copy-hook (THESIS_NOTES 2026-04-10), 25-records seed-set, single-developer projekt.</w:t>
      </w:r>
    </w:p>
    <w:p w14:paraId="093572C0"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Kapitel 4 — Analyse og design (5–6 sider)</w:t>
      </w:r>
    </w:p>
    <w:p w14:paraId="627FE9BE" w14:textId="77777777" w:rsidR="000A0D24" w:rsidRPr="000A0D24" w:rsidRDefault="000A0D24" w:rsidP="000A0D24">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4.1 De seks sub-research questions (SRQ1–SRQ6). Direkte fra THESIS_FRAMEWORK §1. Én side med tabel over konstrukter og evalueringskriterier.</w:t>
      </w:r>
    </w:p>
    <w:p w14:paraId="603719FE" w14:textId="77777777" w:rsidR="000A0D24" w:rsidRPr="000A0D24" w:rsidRDefault="000A0D24" w:rsidP="000A0D24">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4.2 Tre-akse taksonomi. En figur (hvornår × hvordan × hvor) plus prosaforklaring fra §2.1. Argumenter at "single-cell answer always incomplete" — det er thesis claim'et.</w:t>
      </w:r>
    </w:p>
    <w:p w14:paraId="3CED0016" w14:textId="77777777" w:rsidR="000A0D24" w:rsidRPr="000A0D24" w:rsidRDefault="000A0D24" w:rsidP="000A0D24">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4.3 Trusselsmodel. Tabellen fra §2.4 — seks angriberklasser × hvilket lag dækker dem.</w:t>
      </w:r>
    </w:p>
    <w:p w14:paraId="6B292B86" w14:textId="77777777" w:rsidR="000A0D24" w:rsidRPr="000A0D24" w:rsidRDefault="000A0D24" w:rsidP="000A0D24">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4.4 Fire-lags forsvarsmodel. Tabellen fra §2.2 med eksplicitte svagheder per lag. Arguer hvorfor netop disse fire celler er valgt og hvorfor de andre er udeladt.</w:t>
      </w:r>
    </w:p>
    <w:p w14:paraId="2577A439" w14:textId="77777777" w:rsidR="000A0D24" w:rsidRPr="000A0D24" w:rsidRDefault="000A0D24" w:rsidP="000A0D24">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4.5 Privacy-utility frontier. Tabellen fra §2.3 — fem strategier rangeret efter destrueret nytteværdi.</w:t>
      </w:r>
    </w:p>
    <w:p w14:paraId="79E3F1CD" w14:textId="77777777" w:rsidR="000A0D24" w:rsidRPr="000A0D24" w:rsidRDefault="000A0D24" w:rsidP="000A0D24">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4.6 Traceability matrix. Den store tabel fra §3 — artefakt × SRQ × GDPR-artikel × DSRM-fase × status. Dette er det mest citerede figur i hele specialet.</w:t>
      </w:r>
    </w:p>
    <w:p w14:paraId="38C0302C"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Kapitel 5 — Implementering (5–7 sider)</w:t>
      </w:r>
    </w:p>
    <w:p w14:paraId="4004D4A3"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r w:rsidRPr="000A0D24">
        <w:rPr>
          <w:rFonts w:ascii="Arial" w:eastAsia="Times New Roman" w:hAnsi="Arial" w:cs="Arial"/>
          <w:color w:val="000000"/>
          <w:kern w:val="0"/>
          <w:sz w:val="22"/>
          <w:szCs w:val="22"/>
          <w:lang w:eastAsia="en-GB"/>
          <w14:ligatures w14:val="none"/>
        </w:rPr>
        <w:t>Et kort underafsnit per artefakt i den rækkefølge de blev bygget (matcher CHANGELOG.md):</w:t>
      </w:r>
    </w:p>
    <w:p w14:paraId="145E4417" w14:textId="77777777" w:rsidR="000A0D24" w:rsidRPr="000A0D24" w:rsidRDefault="000A0D24" w:rsidP="000A0D2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5.1 Lag L1 — SanitizeData post-copy. Apex-klassen, SandboxPostCopy-interfacet, scrambling-formatet {Id}@example.invalid. Inkluder kort kodeuddrag.</w:t>
      </w:r>
    </w:p>
    <w:p w14:paraId="7F66D5C8" w14:textId="77777777" w:rsidR="000A0D24" w:rsidRPr="000A0D24" w:rsidRDefault="000A0D24" w:rsidP="000A0D2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5.2 Lag L2 — Formula-baseret feltmaskering. $Permission.View_Sensitive_Data, fire Account-felter + otte Contact-felter, FLS-management via permission set. Henvis til THESIS_NOTES 2026-04-16 for "DIY Shield"-argumentet.</w:t>
      </w:r>
    </w:p>
    <w:p w14:paraId="27245909" w14:textId="77777777" w:rsidR="000A0D24" w:rsidRPr="000A0D24" w:rsidRDefault="000A0D24" w:rsidP="000A0D2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5.3 Lag L3 — Safe Report Export + Einstein Trust Layer. Reports.ReportManager-flowet, regex-baseret keyword-pipeline, AI-batchen (10 descriptions per kald), fallback-strategi. Et kodeuddrag der viser AI-pipelinen.</w:t>
      </w:r>
    </w:p>
    <w:p w14:paraId="38788004" w14:textId="77777777" w:rsidR="000A0D24" w:rsidRPr="000A0D24" w:rsidRDefault="000A0D24" w:rsidP="000A0D2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lastRenderedPageBreak/>
        <w:t>5.4 Lag L4 — Page layout som maskeringsstrategi. Kort — det er den svageste celle og bør ikke fylde meget.</w:t>
      </w:r>
    </w:p>
    <w:p w14:paraId="01D3F9D1" w14:textId="77777777" w:rsidR="000A0D24" w:rsidRPr="000A0D24" w:rsidRDefault="000A0D24" w:rsidP="000A0D2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5.5 IDEA-1 — pluggable strategy registry. MaskingStrategy-interfacet, seks strategier, MaskingStrategyRegistry.resolve(...), Masking_Rule__mdt-CMDT'en, Order__c-pipeline. Vis arkitekturen som et UML-klassediagram.</w:t>
      </w:r>
    </w:p>
    <w:p w14:paraId="3C236AAB" w14:textId="77777777" w:rsidR="000A0D24" w:rsidRPr="000A0D24" w:rsidRDefault="000A0D24" w:rsidP="000A0D2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5.6 Mask Workbench (Slices 1–3). Per-kolonne strategy picker (Slice 1), Record-tab med name search (Slice 2), Save-as-Catalogue-Rules (Slice 3). Vis et screenshot per slice. Forklar hvorfor LWC + @AuraEnabled-dispatcher var det rigtige arkitekturvalg.</w:t>
      </w:r>
    </w:p>
    <w:p w14:paraId="35BFEE40" w14:textId="77777777" w:rsidR="000A0D24" w:rsidRPr="000A0D24" w:rsidRDefault="000A0D24" w:rsidP="000A0D2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5.7 Test-strategi: @TestVisible mock-seam-mønsteret. Eget afsnit fordi det er et af dine mest originale arkitektoniske bidrag — beskriv det generaliserede mønster (Einstein, Reports, Metadata API), citér THESIS_NOTES 2026-05-01 som det tredje tilfælde der bekræfter mønsteret.</w:t>
      </w:r>
    </w:p>
    <w:p w14:paraId="1F23ECB6"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Kapitel 6 — Evaluering og resultater (4–5 sider)</w:t>
      </w:r>
    </w:p>
    <w:p w14:paraId="403CC554" w14:textId="77777777" w:rsidR="000A0D24" w:rsidRPr="000A0D24" w:rsidRDefault="000A0D24" w:rsidP="000A0D24">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6.1 Q1 — Unit-tests. 165/165 tests, ~10 s eksekveringstid, 86% dækning på controlleren, 90% på AI-servicen. Forklar hvorfor de resterende procent ikke kan dækkes (non-mockable SDK'er — THESIS_NOTES 2026-04-24).</w:t>
      </w:r>
    </w:p>
    <w:p w14:paraId="766AFEBB" w14:textId="77777777" w:rsidR="000A0D24" w:rsidRPr="000A0D24" w:rsidRDefault="000A0D24" w:rsidP="000A0D24">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6.2 Q2 — Funktionel acceptance. Vis PII-testmatrixen (kategori × strategi × forventet output × pass/fail). Hvis du ikke når at bygge en fuld matrix, vis et udsnit (5–10 rækker er nok).</w:t>
      </w:r>
    </w:p>
    <w:p w14:paraId="01BB3643" w14:textId="77777777" w:rsidR="000A0D24" w:rsidRPr="000A0D24" w:rsidRDefault="000A0D24" w:rsidP="000A0D24">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6.3 Q3 — Adversariel. Erklær eksplicit at fuld harness ikke blev bygget, og forklar hvorfor (out of scope for 30 sider). Brug THESIS_NOTES 2026-04-13 om "AI fanger det regex misser" som et begrænset Q3-resultat.</w:t>
      </w:r>
    </w:p>
    <w:p w14:paraId="061D523B" w14:textId="77777777" w:rsidR="000A0D24" w:rsidRPr="000A0D24" w:rsidRDefault="000A0D24" w:rsidP="000A0D24">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6.4 Q4 — Performance og non-functional. 65 → 12 s benchmark som figur (søjlediagram). Coverage-stigning 61% → 86% over fire iterationer. Einstein governor-limit-betragtninger.</w:t>
      </w:r>
    </w:p>
    <w:p w14:paraId="2DE84328" w14:textId="77777777" w:rsidR="000A0D24" w:rsidRPr="000A0D24" w:rsidRDefault="000A0D24" w:rsidP="000A0D24">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6.5 Penetrationsmatrix. Den store tabel fra THESIS_FRAMEWORK §4.2. Dette er beviset på at hvert lag har dokumenterede svagheder.</w:t>
      </w:r>
    </w:p>
    <w:p w14:paraId="426515F7" w14:textId="77777777" w:rsidR="000A0D24" w:rsidRPr="000A0D24" w:rsidRDefault="000A0D24" w:rsidP="000A0D24">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6.6 Sammenligning med Salesforce Data Mask. THESIS_NOTES 2026-04-17 — hvor er vi bedre, hvor er Data Mask bedre.</w:t>
      </w:r>
    </w:p>
    <w:p w14:paraId="3B087F05"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Kapitel 7 — Diskussion (2–3 sider)</w:t>
      </w:r>
    </w:p>
    <w:p w14:paraId="4FFDB7EF" w14:textId="77777777" w:rsidR="000A0D24" w:rsidRPr="000A0D24" w:rsidRDefault="000A0D24" w:rsidP="000A0D24">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7.1 De tre spændinger (privacy vs. utility, compliance vs. agility, fleksibilitet vs. determinisme) fra THESIS_FRAMEWORK §0.2. Tag eksplicit position på hver.</w:t>
      </w:r>
    </w:p>
    <w:p w14:paraId="538632DA" w14:textId="77777777" w:rsidR="000A0D24" w:rsidRPr="000A0D24" w:rsidRDefault="000A0D24" w:rsidP="000A0D24">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7.2 Platformens begrænsninger som forskningsbidrag. Saml alle "Salesforce kan ikke X"-fundene i en samlet liste: ingen rapport-export-hook, intet long-text-area-filter, Reports/Metadata/Einstein-API'er er ikke mockable, Restriction Rules dækker ikke Account/Contact, Dynamic Forms kun på record detail page, Metadata API auto-grantér ikke FLS, CustomPermission-description har skjult 255-tegnsgrænse, RunLocalTests rollback-ker hele deployments. Otte fund i alt — det er dit primære originale bidrag.</w:t>
      </w:r>
    </w:p>
    <w:p w14:paraId="5E59A5AB" w14:textId="77777777" w:rsidR="000A0D24" w:rsidRPr="000A0D24" w:rsidRDefault="000A0D24" w:rsidP="000A0D24">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7.3 Validitet og generaliserbarhed. 25-records seed-set er ikke prod-skala; Trailhead-org begrænser hvad der kunne testes; én udvikler.</w:t>
      </w:r>
    </w:p>
    <w:p w14:paraId="30356E1C" w14:textId="77777777" w:rsidR="000A0D24" w:rsidRPr="000A0D24" w:rsidRDefault="000A0D24" w:rsidP="000A0D24">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7.4 Restrisiko. Backup-eksfiltration og REST-API-bypass dækkes ikke af nogen lag (sidste række i §2.4-tabellen).</w:t>
      </w:r>
    </w:p>
    <w:p w14:paraId="0CCDEB9C" w14:textId="77777777" w:rsidR="000A0D24" w:rsidRPr="000A0D24" w:rsidRDefault="000A0D24" w:rsidP="000A0D24">
      <w:pPr>
        <w:spacing w:before="320" w:after="80" w:line="240" w:lineRule="auto"/>
        <w:outlineLvl w:val="2"/>
        <w:rPr>
          <w:rFonts w:ascii="Times New Roman" w:eastAsia="Times New Roman" w:hAnsi="Times New Roman" w:cs="Times New Roman"/>
          <w:b/>
          <w:bCs/>
          <w:kern w:val="0"/>
          <w:sz w:val="27"/>
          <w:szCs w:val="27"/>
          <w:lang w:eastAsia="en-GB"/>
          <w14:ligatures w14:val="none"/>
        </w:rPr>
      </w:pPr>
      <w:r w:rsidRPr="000A0D24">
        <w:rPr>
          <w:rFonts w:ascii="Arial" w:eastAsia="Times New Roman" w:hAnsi="Arial" w:cs="Arial"/>
          <w:color w:val="434343"/>
          <w:kern w:val="0"/>
          <w:sz w:val="28"/>
          <w:szCs w:val="28"/>
          <w:lang w:eastAsia="en-GB"/>
          <w14:ligatures w14:val="none"/>
        </w:rPr>
        <w:t>Kapitel 8 — Konklusion og fremtidigt arbejde (1–2 sider)</w:t>
      </w:r>
    </w:p>
    <w:p w14:paraId="52D4856E" w14:textId="77777777" w:rsidR="000A0D24" w:rsidRPr="000A0D24" w:rsidRDefault="000A0D24" w:rsidP="000A0D24">
      <w:pPr>
        <w:numPr>
          <w:ilvl w:val="0"/>
          <w:numId w:val="7"/>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lastRenderedPageBreak/>
        <w:t>8.1 Bidrag. De fem fra THESIS_FRAMEWORK §7 — empirisk benchmark, taksonomi, metodologisk anvendelse af AT-Quadrants, reference-implementation, platform-limit-fund.</w:t>
      </w:r>
    </w:p>
    <w:p w14:paraId="3E0FAAEC" w14:textId="77777777" w:rsidR="000A0D24" w:rsidRPr="000A0D24" w:rsidRDefault="000A0D24" w:rsidP="000A0D24">
      <w:pPr>
        <w:numPr>
          <w:ilvl w:val="0"/>
          <w:numId w:val="7"/>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8.2 Svar pr. SRQ. Én sætning per SRQ.</w:t>
      </w:r>
    </w:p>
    <w:p w14:paraId="7A1CF107" w14:textId="77777777" w:rsidR="000A0D24" w:rsidRPr="000A0D24" w:rsidRDefault="000A0D24" w:rsidP="000A0D24">
      <w:pPr>
        <w:numPr>
          <w:ilvl w:val="0"/>
          <w:numId w:val="7"/>
        </w:numPr>
        <w:spacing w:after="0" w:line="240" w:lineRule="auto"/>
        <w:textAlignment w:val="baseline"/>
        <w:rPr>
          <w:rFonts w:ascii="Arial" w:eastAsia="Times New Roman" w:hAnsi="Arial" w:cs="Arial"/>
          <w:color w:val="000000"/>
          <w:kern w:val="0"/>
          <w:sz w:val="22"/>
          <w:szCs w:val="22"/>
          <w:lang w:eastAsia="en-GB"/>
          <w14:ligatures w14:val="none"/>
        </w:rPr>
      </w:pPr>
      <w:r w:rsidRPr="000A0D24">
        <w:rPr>
          <w:rFonts w:ascii="Arial" w:eastAsia="Times New Roman" w:hAnsi="Arial" w:cs="Arial"/>
          <w:color w:val="000000"/>
          <w:kern w:val="0"/>
          <w:sz w:val="22"/>
          <w:szCs w:val="22"/>
          <w:lang w:eastAsia="en-GB"/>
          <w14:ligatures w14:val="none"/>
        </w:rPr>
        <w:t>8.3 Fremtidigt arbejde. Slices 4–5 (browserudvidelse — den novelty-vinkel der ikke nåedes), k-anonymity-analyse, EmailMessage/FeedItem-coverage, Slice 6 (page-layout preview), CI-pipeline-integration, fuld DPIA.</w:t>
      </w:r>
    </w:p>
    <w:p w14:paraId="43579CD1" w14:textId="77777777" w:rsidR="000A0D24" w:rsidRPr="000A0D24" w:rsidRDefault="000A0D24" w:rsidP="000A0D24">
      <w:pPr>
        <w:spacing w:after="240" w:line="240" w:lineRule="auto"/>
        <w:rPr>
          <w:rFonts w:ascii="Times New Roman" w:eastAsia="Times New Roman" w:hAnsi="Times New Roman" w:cs="Times New Roman"/>
          <w:kern w:val="0"/>
          <w:lang w:eastAsia="en-GB"/>
          <w14:ligatures w14:val="none"/>
        </w:rPr>
      </w:pPr>
    </w:p>
    <w:p w14:paraId="1327E0C2" w14:textId="77777777" w:rsidR="000A0D24" w:rsidRPr="000A0D24" w:rsidRDefault="000A0D24" w:rsidP="000A0D24">
      <w:pPr>
        <w:spacing w:after="0" w:line="240" w:lineRule="auto"/>
        <w:rPr>
          <w:rFonts w:ascii="Times New Roman" w:eastAsia="Times New Roman" w:hAnsi="Times New Roman" w:cs="Times New Roman"/>
          <w:kern w:val="0"/>
          <w:lang w:eastAsia="en-GB"/>
          <w14:ligatures w14:val="none"/>
        </w:rPr>
      </w:pPr>
    </w:p>
    <w:p w14:paraId="7F6800B0" w14:textId="77777777" w:rsidR="00A1595B" w:rsidRDefault="00A1595B"/>
    <w:sectPr w:rsidR="00A1595B" w:rsidSect="000A0D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7A90"/>
    <w:multiLevelType w:val="multilevel"/>
    <w:tmpl w:val="DA68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F4710"/>
    <w:multiLevelType w:val="multilevel"/>
    <w:tmpl w:val="DD66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E1E28"/>
    <w:multiLevelType w:val="multilevel"/>
    <w:tmpl w:val="22E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A6191"/>
    <w:multiLevelType w:val="multilevel"/>
    <w:tmpl w:val="984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23CBF"/>
    <w:multiLevelType w:val="multilevel"/>
    <w:tmpl w:val="4EF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4717A3"/>
    <w:multiLevelType w:val="multilevel"/>
    <w:tmpl w:val="EB6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57823"/>
    <w:multiLevelType w:val="multilevel"/>
    <w:tmpl w:val="73D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314476">
    <w:abstractNumId w:val="0"/>
  </w:num>
  <w:num w:numId="2" w16cid:durableId="480196592">
    <w:abstractNumId w:val="1"/>
  </w:num>
  <w:num w:numId="3" w16cid:durableId="1339231877">
    <w:abstractNumId w:val="2"/>
  </w:num>
  <w:num w:numId="4" w16cid:durableId="1195728624">
    <w:abstractNumId w:val="3"/>
  </w:num>
  <w:num w:numId="5" w16cid:durableId="748960888">
    <w:abstractNumId w:val="5"/>
  </w:num>
  <w:num w:numId="6" w16cid:durableId="1717387499">
    <w:abstractNumId w:val="6"/>
  </w:num>
  <w:num w:numId="7" w16cid:durableId="758017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24"/>
    <w:rsid w:val="000A0D24"/>
    <w:rsid w:val="00655312"/>
    <w:rsid w:val="007B2DBE"/>
    <w:rsid w:val="008D26BB"/>
    <w:rsid w:val="00A1595B"/>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38FE5099"/>
  <w15:chartTrackingRefBased/>
  <w15:docId w15:val="{7F03D437-4440-374B-9923-E4E16EDD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0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0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D24"/>
    <w:rPr>
      <w:rFonts w:eastAsiaTheme="majorEastAsia" w:cstheme="majorBidi"/>
      <w:color w:val="272727" w:themeColor="text1" w:themeTint="D8"/>
    </w:rPr>
  </w:style>
  <w:style w:type="paragraph" w:styleId="Title">
    <w:name w:val="Title"/>
    <w:basedOn w:val="Normal"/>
    <w:next w:val="Normal"/>
    <w:link w:val="TitleChar"/>
    <w:uiPriority w:val="10"/>
    <w:qFormat/>
    <w:rsid w:val="000A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D24"/>
    <w:pPr>
      <w:spacing w:before="160"/>
      <w:jc w:val="center"/>
    </w:pPr>
    <w:rPr>
      <w:i/>
      <w:iCs/>
      <w:color w:val="404040" w:themeColor="text1" w:themeTint="BF"/>
    </w:rPr>
  </w:style>
  <w:style w:type="character" w:customStyle="1" w:styleId="QuoteChar">
    <w:name w:val="Quote Char"/>
    <w:basedOn w:val="DefaultParagraphFont"/>
    <w:link w:val="Quote"/>
    <w:uiPriority w:val="29"/>
    <w:rsid w:val="000A0D24"/>
    <w:rPr>
      <w:i/>
      <w:iCs/>
      <w:color w:val="404040" w:themeColor="text1" w:themeTint="BF"/>
    </w:rPr>
  </w:style>
  <w:style w:type="paragraph" w:styleId="ListParagraph">
    <w:name w:val="List Paragraph"/>
    <w:basedOn w:val="Normal"/>
    <w:uiPriority w:val="34"/>
    <w:qFormat/>
    <w:rsid w:val="000A0D24"/>
    <w:pPr>
      <w:ind w:left="720"/>
      <w:contextualSpacing/>
    </w:pPr>
  </w:style>
  <w:style w:type="character" w:styleId="IntenseEmphasis">
    <w:name w:val="Intense Emphasis"/>
    <w:basedOn w:val="DefaultParagraphFont"/>
    <w:uiPriority w:val="21"/>
    <w:qFormat/>
    <w:rsid w:val="000A0D24"/>
    <w:rPr>
      <w:i/>
      <w:iCs/>
      <w:color w:val="0F4761" w:themeColor="accent1" w:themeShade="BF"/>
    </w:rPr>
  </w:style>
  <w:style w:type="paragraph" w:styleId="IntenseQuote">
    <w:name w:val="Intense Quote"/>
    <w:basedOn w:val="Normal"/>
    <w:next w:val="Normal"/>
    <w:link w:val="IntenseQuoteChar"/>
    <w:uiPriority w:val="30"/>
    <w:qFormat/>
    <w:rsid w:val="000A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D24"/>
    <w:rPr>
      <w:i/>
      <w:iCs/>
      <w:color w:val="0F4761" w:themeColor="accent1" w:themeShade="BF"/>
    </w:rPr>
  </w:style>
  <w:style w:type="character" w:styleId="IntenseReference">
    <w:name w:val="Intense Reference"/>
    <w:basedOn w:val="DefaultParagraphFont"/>
    <w:uiPriority w:val="32"/>
    <w:qFormat/>
    <w:rsid w:val="000A0D24"/>
    <w:rPr>
      <w:b/>
      <w:bCs/>
      <w:smallCaps/>
      <w:color w:val="0F4761" w:themeColor="accent1" w:themeShade="BF"/>
      <w:spacing w:val="5"/>
    </w:rPr>
  </w:style>
  <w:style w:type="paragraph" w:styleId="NormalWeb">
    <w:name w:val="Normal (Web)"/>
    <w:basedOn w:val="Normal"/>
    <w:uiPriority w:val="99"/>
    <w:semiHidden/>
    <w:unhideWhenUsed/>
    <w:rsid w:val="000A0D2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39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Sal</b:Tag>
    <b:SourceType>InternetSite</b:SourceType>
    <b:Guid>{8847F493-E8FF-EA4C-B39A-EB1D056746B2}</b:Guid>
    <b:Title>SandboxPostCopy Interface | Apex Reference Guide</b:Title>
    <b:Author>
      <b:Author>
        <b:NameList>
          <b:Person>
            <b:Last>Salesforce</b:Last>
          </b:Person>
        </b:NameList>
      </b:Author>
    </b:Author>
    <b:URL>https://developer.salesforce.com/docs/atlas.en-us.apexref.meta/apexref/apex_interface_System_SandboxPostCopy.htm</b:URL>
    <b:RefOrder>1</b:RefOrder>
  </b:Source>
</b:Sources>
</file>

<file path=customXml/itemProps1.xml><?xml version="1.0" encoding="utf-8"?>
<ds:datastoreItem xmlns:ds="http://schemas.openxmlformats.org/officeDocument/2006/customXml" ds:itemID="{9F7D33F7-3B63-2349-AF78-3EC5CFCFC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1775</Words>
  <Characters>10123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Telsing</dc:creator>
  <cp:keywords/>
  <dc:description/>
  <cp:lastModifiedBy>Benjamin Telsing</cp:lastModifiedBy>
  <cp:revision>1</cp:revision>
  <dcterms:created xsi:type="dcterms:W3CDTF">2026-05-01T08:55:00Z</dcterms:created>
  <dcterms:modified xsi:type="dcterms:W3CDTF">2026-05-01T09:05:00Z</dcterms:modified>
</cp:coreProperties>
</file>