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LGBTQ Housing Discrimination Statistics 2026 | GayRealEstateCT</w:t>
      </w:r>
    </w:p>
    <w:p>
      <w:pPr>
        <w:spacing w:after="40"/>
      </w:pPr>
      <w:r>
        <w:rPr>
          <w:color w:val="444444"/>
          <w:sz w:val="20"/>
          <w:szCs w:val="20"/>
        </w:rPr>
        <w:t xml:space="preserve">Meta Description: Current data on LGBTQ housing discrimination in the United States and Connecticut — plus what to do if you experience it and which protections apply to you.</w:t>
      </w:r>
    </w:p>
    <w:p>
      <w:pPr>
        <w:spacing w:after="40"/>
      </w:pPr>
      <w:r>
        <w:rPr>
          <w:color w:val="444444"/>
          <w:sz w:val="20"/>
          <w:szCs w:val="20"/>
        </w:rPr>
        <w:t xml:space="preserve">Focus Keywords: LGBTQ housing discrimination statistics, gay realtor as discrimination protection, LGBT real estate agent advocacy, gay real estate agent fair housing, housing discrimination against gay couples Connecticut</w:t>
      </w:r>
    </w:p>
    <w:p>
      <w:pPr>
        <w:spacing w:after="200"/>
      </w:pPr>
      <w:r>
        <w:rPr>
          <w:color w:val="444444"/>
          <w:sz w:val="20"/>
          <w:szCs w:val="20"/>
        </w:rPr>
        <w:t xml:space="preserve">Author: Carolyn Futtner — Real Estate Attorney | MPF Law</w:t>
      </w:r>
    </w:p>
    <w:p>
      <w:pPr>
        <w:spacing w:after="200"/>
      </w:pPr>
      <w:r>
        <w:rPr>
          <w:color w:val="cccccc"/>
          <w:sz w:val="18"/>
          <w:szCs w:val="18"/>
        </w:rPr>
        <w:t xml:space="preserve">────────────────────────────────────────────────────────────</w:t>
      </w:r>
    </w:p>
    <w:p>
      <w:pPr>
        <w:pStyle w:val="Heading1"/>
        <w:spacing w:after="200"/>
      </w:pPr>
      <w:r>
        <w:t xml:space="preserve">LGBTQ Housing Discrimination Statistics 2026</w:t>
      </w:r>
    </w:p>
    <w:p>
      <w:pPr>
        <w:spacing w:after="160"/>
      </w:pPr>
      <w:r>
        <w:rPr>
          <w:sz w:val="24"/>
          <w:szCs w:val="24"/>
        </w:rPr>
        <w:t xml:space="preserve">Housing discrimination against LGBTQ+ individuals and couples remains a documented, ongoing reality in the United States — even in states with strong legal protections. Understanding the scope of the problem, knowing what it looks like in practice, and knowing your rights if you experience it are essential tools for any LGBTQ+ buyer or renter.</w:t>
      </w:r>
    </w:p>
    <w:p>
      <w:pPr>
        <w:spacing w:after="160"/>
      </w:pPr>
      <w:r>
        <w:rPr>
          <w:sz w:val="24"/>
          <w:szCs w:val="24"/>
        </w:rPr>
        <w:t xml:space="preserve">Carolyn Futtner, real estate attorney and founding partner at MPF Law, presents the current data and the practical guidance Connecticut buyers need.</w:t>
      </w:r>
    </w:p>
    <w:p>
      <w:pPr>
        <w:pStyle w:val="Heading2"/>
        <w:spacing w:after="100" w:before="280"/>
      </w:pPr>
      <w:r>
        <w:t xml:space="preserve">The National Picture: What the Data Shows</w:t>
      </w:r>
    </w:p>
    <w:p>
      <w:pPr>
        <w:spacing w:after="160"/>
      </w:pPr>
      <w:r>
        <w:rPr>
          <w:sz w:val="24"/>
          <w:szCs w:val="24"/>
        </w:rPr>
        <w:t xml:space="preserve">According to the National Fair Housing Alliance's most recent annual report, sexual orientation and gender identity are among the fastest-growing categories of housing discrimination complaints — even as overall complaints have fluctuated. Key findings include:</w:t>
      </w:r>
    </w:p>
    <w:p>
      <w:pPr>
        <w:pStyle w:val="ListParagraph"/>
        <w:numPr>
          <w:ilvl w:val="0"/>
          <w:numId w:val="1"/>
        </w:numPr>
        <w:spacing w:after="80"/>
      </w:pPr>
      <w:r>
        <w:rPr>
          <w:sz w:val="24"/>
          <w:szCs w:val="24"/>
        </w:rPr>
        <w:t xml:space="preserve">LGBTQ+ individuals are approximately 46% more likely to experience housing discrimination than their non-LGBTQ+ counterparts in studies using matched-pair testing.</w:t>
      </w:r>
    </w:p>
    <w:p>
      <w:pPr>
        <w:pStyle w:val="ListParagraph"/>
        <w:numPr>
          <w:ilvl w:val="0"/>
          <w:numId w:val="1"/>
        </w:numPr>
        <w:spacing w:after="80"/>
      </w:pPr>
      <w:r>
        <w:rPr>
          <w:sz w:val="24"/>
          <w:szCs w:val="24"/>
        </w:rPr>
        <w:t xml:space="preserve">Transgender individuals face the highest rates of discrimination — with studies showing 19% of transgender respondents reported being denied a home or apartment because of their gender identity.</w:t>
      </w:r>
    </w:p>
    <w:p>
      <w:pPr>
        <w:pStyle w:val="ListParagraph"/>
        <w:numPr>
          <w:ilvl w:val="0"/>
          <w:numId w:val="1"/>
        </w:numPr>
        <w:spacing w:after="80"/>
      </w:pPr>
      <w:r>
        <w:rPr>
          <w:sz w:val="24"/>
          <w:szCs w:val="24"/>
        </w:rPr>
        <w:t xml:space="preserve">LGBTQ+ individuals of color experience compounded discrimination — at higher rates than either white LGBTQ+ people or non-LGBTQ+ people of color independently.</w:t>
      </w:r>
    </w:p>
    <w:p>
      <w:pPr>
        <w:pStyle w:val="ListParagraph"/>
        <w:numPr>
          <w:ilvl w:val="0"/>
          <w:numId w:val="1"/>
        </w:numPr>
        <w:spacing w:after="80"/>
      </w:pPr>
      <w:r>
        <w:rPr>
          <w:sz w:val="24"/>
          <w:szCs w:val="24"/>
        </w:rPr>
        <w:t xml:space="preserve">Discrimination is often subtle and difficult to prove — it appears in delayed responses, selective availability claims, application denials without stated reason, and unwelcoming in-person interactions rather than explicit refusals.</w:t>
      </w:r>
    </w:p>
    <w:p>
      <w:pPr>
        <w:pStyle w:val="Heading2"/>
        <w:spacing w:after="100" w:before="280"/>
      </w:pPr>
      <w:r>
        <w:t xml:space="preserve">Connecticut's Statistics: Better, But Not Perfect</w:t>
      </w:r>
    </w:p>
    <w:p>
      <w:pPr>
        <w:spacing w:after="160"/>
      </w:pPr>
      <w:r>
        <w:rPr>
          <w:sz w:val="24"/>
          <w:szCs w:val="24"/>
        </w:rPr>
        <w:t xml:space="preserve">Connecticut's state-level protections are among the strongest in the country, and the data shows a meaningful difference. The Connecticut Commission on Human Rights and Opportunities (CHRO) processes LGBTQ+-related housing discrimination complaints, and complaint volumes in Connecticut are lower than comparable states without explicit protections.</w:t>
      </w:r>
    </w:p>
    <w:p>
      <w:pPr>
        <w:spacing w:after="160"/>
      </w:pPr>
      <w:r>
        <w:rPr>
          <w:sz w:val="24"/>
          <w:szCs w:val="24"/>
        </w:rPr>
        <w:t xml:space="preserve">However, lower complaint volumes don't necessarily mean lower discrimination rates — they can also reflect lower awareness of reporting mechanisms, underreporting due to fear or distrust of the process, or discrimination that is too subtle to constitute a clear legal violation. A 2024 study by the Connecticut Fair Housing Center found that LGBTQ+ testers in selected markets still encountered differential treatment in approximately 18% of tests.</w:t>
      </w:r>
    </w:p>
    <w:p>
      <w:pPr>
        <w:pStyle w:val="Heading2"/>
        <w:spacing w:after="100" w:before="280"/>
      </w:pPr>
      <w:r>
        <w:t xml:space="preserve">What Housing Discrimination Actually Looks Like</w:t>
      </w:r>
    </w:p>
    <w:p>
      <w:pPr>
        <w:spacing w:after="160"/>
      </w:pPr>
      <w:r>
        <w:rPr>
          <w:sz w:val="24"/>
          <w:szCs w:val="24"/>
        </w:rPr>
        <w:t xml:space="preserve">Most LGBTQ+ housing discrimination is not a landlord saying "I won't rent to gay people." It's more often:</w:t>
      </w:r>
    </w:p>
    <w:p>
      <w:pPr>
        <w:pStyle w:val="ListParagraph"/>
        <w:numPr>
          <w:ilvl w:val="0"/>
          <w:numId w:val="1"/>
        </w:numPr>
        <w:spacing w:after="80"/>
      </w:pPr>
      <w:r>
        <w:rPr>
          <w:sz w:val="24"/>
          <w:szCs w:val="24"/>
        </w:rPr>
        <w:t xml:space="preserve">Being told a unit is unavailable when it later appears back on the market.</w:t>
      </w:r>
    </w:p>
    <w:p>
      <w:pPr>
        <w:pStyle w:val="ListParagraph"/>
        <w:numPr>
          <w:ilvl w:val="0"/>
          <w:numId w:val="1"/>
        </w:numPr>
        <w:spacing w:after="80"/>
      </w:pPr>
      <w:r>
        <w:rPr>
          <w:sz w:val="24"/>
          <w:szCs w:val="24"/>
        </w:rPr>
        <w:t xml:space="preserve">An unusually slow or unresponsive application process compared to non-LGBTQ+ applicants.</w:t>
      </w:r>
    </w:p>
    <w:p>
      <w:pPr>
        <w:pStyle w:val="ListParagraph"/>
        <w:numPr>
          <w:ilvl w:val="0"/>
          <w:numId w:val="1"/>
        </w:numPr>
        <w:spacing w:after="80"/>
      </w:pPr>
      <w:r>
        <w:rPr>
          <w:sz w:val="24"/>
          <w:szCs w:val="24"/>
        </w:rPr>
        <w:t xml:space="preserve">Subtle hostility, excessive questioning, or discomfort from a seller or landlord during showings.</w:t>
      </w:r>
    </w:p>
    <w:p>
      <w:pPr>
        <w:pStyle w:val="ListParagraph"/>
        <w:numPr>
          <w:ilvl w:val="0"/>
          <w:numId w:val="1"/>
        </w:numPr>
        <w:spacing w:after="80"/>
      </w:pPr>
      <w:r>
        <w:rPr>
          <w:sz w:val="24"/>
          <w:szCs w:val="24"/>
        </w:rPr>
        <w:t xml:space="preserve">HOA or condo board rejection that isn't explained or is explained with pretextual reasons.</w:t>
      </w:r>
    </w:p>
    <w:p>
      <w:pPr>
        <w:pStyle w:val="ListParagraph"/>
        <w:numPr>
          <w:ilvl w:val="0"/>
          <w:numId w:val="1"/>
        </w:numPr>
        <w:spacing w:after="80"/>
      </w:pPr>
      <w:r>
        <w:rPr>
          <w:sz w:val="24"/>
          <w:szCs w:val="24"/>
        </w:rPr>
        <w:t xml:space="preserve">A seller refusing an offer that meets asking price without a stated reason, followed by accepting a lower offer from another buyer.</w:t>
      </w:r>
    </w:p>
    <w:p>
      <w:pPr>
        <w:spacing w:after="160"/>
      </w:pPr>
      <w:r>
        <w:rPr>
          <w:sz w:val="24"/>
          <w:szCs w:val="24"/>
        </w:rPr>
        <w:t xml:space="preserve">These patterns are documented, and they are actionable — even without explicit statements of bias. A gay realtor or LGBT real estate agent who has worked extensively with LGBTQ+ buyers can often recognize these patterns faster than a first-time buyer would, and knows when to escalate versus when a delay has a legitimate explanation.</w:t>
      </w:r>
    </w:p>
    <w:p>
      <w:pPr>
        <w:pStyle w:val="Heading2"/>
        <w:spacing w:after="100" w:before="280"/>
      </w:pPr>
      <w:r>
        <w:t xml:space="preserve">Your Legal Protections in Connecticut</w:t>
      </w:r>
    </w:p>
    <w:p>
      <w:pPr>
        <w:spacing w:after="160"/>
      </w:pPr>
      <w:r>
        <w:rPr>
          <w:sz w:val="24"/>
          <w:szCs w:val="24"/>
        </w:rPr>
        <w:t xml:space="preserve">Connecticut law prohibits housing discrimination based on sexual orientation and gender identity in:</w:t>
      </w:r>
    </w:p>
    <w:p>
      <w:pPr>
        <w:pStyle w:val="ListParagraph"/>
        <w:numPr>
          <w:ilvl w:val="0"/>
          <w:numId w:val="1"/>
        </w:numPr>
        <w:spacing w:after="80"/>
      </w:pPr>
      <w:r>
        <w:rPr>
          <w:sz w:val="24"/>
          <w:szCs w:val="24"/>
        </w:rPr>
        <w:t xml:space="preserve">The sale or rental of residential housing.</w:t>
      </w:r>
    </w:p>
    <w:p>
      <w:pPr>
        <w:pStyle w:val="ListParagraph"/>
        <w:numPr>
          <w:ilvl w:val="0"/>
          <w:numId w:val="1"/>
        </w:numPr>
        <w:spacing w:after="80"/>
      </w:pPr>
      <w:r>
        <w:rPr>
          <w:sz w:val="24"/>
          <w:szCs w:val="24"/>
        </w:rPr>
        <w:t xml:space="preserve">The terms, conditions, or privileges of a sale or rental.</w:t>
      </w:r>
    </w:p>
    <w:p>
      <w:pPr>
        <w:pStyle w:val="ListParagraph"/>
        <w:numPr>
          <w:ilvl w:val="0"/>
          <w:numId w:val="1"/>
        </w:numPr>
        <w:spacing w:after="80"/>
      </w:pPr>
      <w:r>
        <w:rPr>
          <w:sz w:val="24"/>
          <w:szCs w:val="24"/>
        </w:rPr>
        <w:t xml:space="preserve">Advertising that expresses any preference, limitation, or discrimination.</w:t>
      </w:r>
    </w:p>
    <w:p>
      <w:pPr>
        <w:pStyle w:val="ListParagraph"/>
        <w:numPr>
          <w:ilvl w:val="0"/>
          <w:numId w:val="1"/>
        </w:numPr>
        <w:spacing w:after="80"/>
      </w:pPr>
      <w:r>
        <w:rPr>
          <w:sz w:val="24"/>
          <w:szCs w:val="24"/>
        </w:rPr>
        <w:t xml:space="preserve">Financing (mortgage lending) related to housing.</w:t>
      </w:r>
    </w:p>
    <w:p>
      <w:pPr>
        <w:spacing w:after="160"/>
      </w:pPr>
      <w:r>
        <w:rPr>
          <w:sz w:val="24"/>
          <w:szCs w:val="24"/>
        </w:rPr>
        <w:t xml:space="preserve">The Connecticut Commission on Human Rights and Opportunities (CHRO) enforces these protections. You have 180 days from the date of the alleged discrimination to file a complaint. Federal Fair Housing Act protections also apply, with a parallel process available through HUD.</w:t>
      </w:r>
    </w:p>
    <w:p>
      <w:pPr>
        <w:pStyle w:val="Heading2"/>
        <w:spacing w:after="100" w:before="280"/>
      </w:pPr>
      <w:r>
        <w:t xml:space="preserve">What to Do If You Experience Discrimination</w:t>
      </w:r>
    </w:p>
    <w:p>
      <w:pPr>
        <w:pStyle w:val="ListParagraph"/>
        <w:numPr>
          <w:ilvl w:val="0"/>
          <w:numId w:val="2"/>
        </w:numPr>
        <w:spacing w:after="80"/>
      </w:pPr>
      <w:r>
        <w:rPr>
          <w:sz w:val="24"/>
          <w:szCs w:val="24"/>
        </w:rPr>
        <w:t xml:space="preserve">Document everything immediately. Write down dates, times, names, and what was said or done. Save all written communications.</w:t>
      </w:r>
    </w:p>
    <w:p>
      <w:pPr>
        <w:pStyle w:val="ListParagraph"/>
        <w:numPr>
          <w:ilvl w:val="0"/>
          <w:numId w:val="2"/>
        </w:numPr>
        <w:spacing w:after="80"/>
      </w:pPr>
      <w:r>
        <w:rPr>
          <w:sz w:val="24"/>
          <w:szCs w:val="24"/>
        </w:rPr>
        <w:t xml:space="preserve">Do not confront the discriminating party directly — this rarely changes outcomes and can complicate your legal case.</w:t>
      </w:r>
    </w:p>
    <w:p>
      <w:pPr>
        <w:pStyle w:val="ListParagraph"/>
        <w:numPr>
          <w:ilvl w:val="0"/>
          <w:numId w:val="2"/>
        </w:numPr>
        <w:spacing w:after="80"/>
      </w:pPr>
      <w:r>
        <w:rPr>
          <w:sz w:val="24"/>
          <w:szCs w:val="24"/>
        </w:rPr>
        <w:t xml:space="preserve">Contact your gay realtor or LGBT real estate agent immediately — an experienced gay real estate agent will know whether what you're describing constitutes a pattern of discrimination and can help you decide whether to escalate.</w:t>
      </w:r>
    </w:p>
    <w:p>
      <w:pPr>
        <w:pStyle w:val="ListParagraph"/>
        <w:numPr>
          <w:ilvl w:val="0"/>
          <w:numId w:val="2"/>
        </w:numPr>
        <w:spacing w:after="80"/>
      </w:pPr>
      <w:r>
        <w:rPr>
          <w:sz w:val="24"/>
          <w:szCs w:val="24"/>
        </w:rPr>
        <w:t xml:space="preserve">File a complaint with the CHRO (portal.ct.gov/CHRO) within 180 days.</w:t>
      </w:r>
    </w:p>
    <w:p>
      <w:pPr>
        <w:pStyle w:val="ListParagraph"/>
        <w:numPr>
          <w:ilvl w:val="0"/>
          <w:numId w:val="2"/>
        </w:numPr>
        <w:spacing w:after="80"/>
      </w:pPr>
      <w:r>
        <w:rPr>
          <w:sz w:val="24"/>
          <w:szCs w:val="24"/>
        </w:rPr>
        <w:t xml:space="preserve">Consider consulting a real estate attorney who has fair housing experience. Carolyn Futtner at MPF Law has experience advising clients on discrimination claims in Connecticut transactions.</w:t>
      </w:r>
    </w:p>
    <w:p>
      <w:pPr>
        <w:pStyle w:val="ListParagraph"/>
        <w:numPr>
          <w:ilvl w:val="0"/>
          <w:numId w:val="2"/>
        </w:numPr>
        <w:spacing w:after="80"/>
      </w:pPr>
      <w:r>
        <w:rPr>
          <w:sz w:val="24"/>
          <w:szCs w:val="24"/>
        </w:rPr>
        <w:t xml:space="preserve">Contact HUD's Fair Housing office (hud.gov/fairhousing) if you want to pursue a parallel federal complaint.</w:t>
      </w:r>
    </w:p>
    <w:p>
      <w:pPr>
        <w:pStyle w:val="Heading2"/>
        <w:spacing w:after="100" w:before="280"/>
      </w:pPr>
      <w:r>
        <w:t xml:space="preserve">The Systemic Impact: Why These Statistics Matter for Buyers</w:t>
      </w:r>
    </w:p>
    <w:p>
      <w:pPr>
        <w:spacing w:after="160"/>
      </w:pPr>
      <w:r>
        <w:rPr>
          <w:sz w:val="24"/>
          <w:szCs w:val="24"/>
        </w:rPr>
        <w:t xml:space="preserve">LGBTQ+ housing discrimination contributes to the persistent homeownership gap between LGBTQ+ and non-LGBTQ+ Americans. When buyers are systematically steered away from certain neighborhoods, discouraged by hostile application processes, or denied financing, the compounding effect is lower homeownership rates and lower wealth accumulation over time.</w:t>
      </w:r>
    </w:p>
    <w:p>
      <w:pPr>
        <w:spacing w:after="160"/>
      </w:pPr>
      <w:r>
        <w:rPr>
          <w:sz w:val="24"/>
          <w:szCs w:val="24"/>
        </w:rPr>
        <w:t xml:space="preserve">Choosing an LGBTQ+-affirming gay real estate agent and attorney is one of the most effective individual actions you can take. A gay realtor or LGBT real estate agent serves as a buffer and advocate throughout the process — someone who can recognize discriminatory patterns, call them out professionally, and redirect you to a transaction where your interests are respected.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2026-05-11T17:57:50.942Z</dcterms:created>
  <dcterms:modified xsi:type="dcterms:W3CDTF">2026-05-11T17:57:50.942Z</dcterms:modified>
</cp:coreProperties>
</file>

<file path=docProps/custom.xml><?xml version="1.0" encoding="utf-8"?>
<Properties xmlns="http://schemas.openxmlformats.org/officeDocument/2006/custom-properties" xmlns:vt="http://schemas.openxmlformats.org/officeDocument/2006/docPropsVTypes"/>
</file>