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widowControl w:val="0"/>
        <w:spacing w:after="0" w:line="480" w:lineRule="auto"/>
        <w:jc w:val="left"/>
        <w:rPr/>
      </w:pPr>
      <w:bookmarkStart w:colFirst="0" w:colLast="0" w:name="_al0bdfqrgixh" w:id="0"/>
      <w:bookmarkEnd w:id="0"/>
      <w:r w:rsidDel="00000000" w:rsidR="00000000" w:rsidRPr="00000000">
        <w:rPr>
          <w:rtl w:val="0"/>
        </w:rPr>
        <w:t xml:space="preserve">Supplementary Material</w:t>
      </w:r>
    </w:p>
    <w:p w:rsidR="00000000" w:rsidDel="00000000" w:rsidP="00000000" w:rsidRDefault="00000000" w:rsidRPr="00000000" w14:paraId="00000002">
      <w:pPr>
        <w:pStyle w:val="Heading3"/>
        <w:spacing w:before="0" w:lineRule="auto"/>
        <w:rPr/>
      </w:pPr>
      <w:bookmarkStart w:colFirst="0" w:colLast="0" w:name="_8l39qfa40vyl" w:id="1"/>
      <w:bookmarkEnd w:id="1"/>
      <w:r w:rsidDel="00000000" w:rsidR="00000000" w:rsidRPr="00000000">
        <w:rPr>
          <w:rtl w:val="0"/>
        </w:rPr>
        <w:t xml:space="preserve">A – Model Performance</w:t>
      </w:r>
    </w:p>
    <w:p w:rsidR="00000000" w:rsidDel="00000000" w:rsidP="00000000" w:rsidRDefault="00000000" w:rsidRPr="00000000" w14:paraId="00000003">
      <w:pPr>
        <w:spacing w:after="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 A1 – Deep learning model performance tested on various sizes of Training data (10 – 100%).</w:t>
      </w:r>
      <w:r w:rsidDel="00000000" w:rsidR="00000000" w:rsidRPr="00000000">
        <w:rPr>
          <w:rtl w:val="0"/>
        </w:rPr>
        <w:t xml:space="preserve"> Metrics are denoted as estimated mean score ± SD over ten independent training runs for each training data size scenario. Reported metrics are F1-score (micro and macro), categorical accuracy, and area under the curve (AUC). </w:t>
      </w:r>
    </w:p>
    <w:tbl>
      <w:tblPr>
        <w:tblStyle w:val="Table1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560"/>
        <w:gridCol w:w="1635"/>
        <w:gridCol w:w="1860"/>
        <w:gridCol w:w="1695"/>
        <w:tblGridChange w:id="0">
          <w:tblGrid>
            <w:gridCol w:w="1800"/>
            <w:gridCol w:w="1560"/>
            <w:gridCol w:w="1635"/>
            <w:gridCol w:w="1860"/>
            <w:gridCol w:w="16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data size</w:t>
            </w:r>
          </w:p>
        </w:tc>
        <w:tc>
          <w:tcPr>
            <w:tcBorders>
              <w:bottom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 (micro)</w:t>
            </w:r>
          </w:p>
        </w:tc>
        <w:tc>
          <w:tcPr>
            <w:tcBorders>
              <w:bottom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 (macro)</w:t>
            </w:r>
          </w:p>
        </w:tc>
        <w:tc>
          <w:tcPr>
            <w:tcBorders>
              <w:bottom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Cat. Accuracy</w:t>
            </w:r>
          </w:p>
        </w:tc>
        <w:tc>
          <w:tcPr>
            <w:tcBorders>
              <w:bottom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</w:t>
              <w:br w:type="textWrapping"/>
              <w:t xml:space="preserve">(final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0.92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0.84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0.92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0.97 ±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0.91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0.82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0.91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0.97 ±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0.91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0.82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0.91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0.97 ±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0.90 ±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0.81 ±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0.90 ±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0.97 ±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0.89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0.79 ±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0.89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0.97 ±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0.89 ±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0.79 ±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0.89 ±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0.97 ±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0.88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0.77 ±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0.88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0.96 ± 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0.87 ±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0.75 ± 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0.87 ±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0.96 ± 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0.86 ±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0.73 ±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0.86 ±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0.96 ±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0.86 ±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0.74 ± 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0.86 ±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0.96 ± 0.01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="276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 A2 – Deep learning model performance tested under varying levels of class balance in the training data</w:t>
      </w:r>
      <w:r w:rsidDel="00000000" w:rsidR="00000000" w:rsidRPr="00000000">
        <w:rPr>
          <w:rtl w:val="0"/>
        </w:rPr>
        <w:t xml:space="preserve">. Performance metrics are shown as estimated mean ± SD across ten independent training runs for each scenario. Reported metrics include the F1-score (micro and macro), categorical accuracy, and area under the curve (AUC). All models were trained on datasets of equal total size (n = 474) but with different class distributions: “Balanced” (equal proportions of all classes), “Mild” (brooding = 20%, incubation = 40%, random = 40%), “Moderate” (brooding = 15%, incubation = 30%, random = 55%), and “Natural” (brooding = 12%, incubation = 35%, random = 53%; reflecting more natural class imbalance in the dataset).</w:t>
      </w:r>
      <w:r w:rsidDel="00000000" w:rsidR="00000000" w:rsidRPr="00000000">
        <w:rPr>
          <w:rtl w:val="0"/>
        </w:rPr>
      </w:r>
    </w:p>
    <w:tbl>
      <w:tblPr>
        <w:tblStyle w:val="Table2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560"/>
        <w:gridCol w:w="1635"/>
        <w:gridCol w:w="1860"/>
        <w:gridCol w:w="1695"/>
        <w:tblGridChange w:id="0">
          <w:tblGrid>
            <w:gridCol w:w="1800"/>
            <w:gridCol w:w="1560"/>
            <w:gridCol w:w="1635"/>
            <w:gridCol w:w="1860"/>
            <w:gridCol w:w="16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balance scenario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 (micro)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 (macro)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Cat. Accuracy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Balanced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0.75 ± 0.02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0.70 ± 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0.75 ± 0.02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0.92 ± 0.01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0.83 ± 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0.75 ± 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0.83 ± 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 ± 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0.84 ± 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0.77 ± 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0.84 ± 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0.96 ± 0.01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Natural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0.85 ± 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0.74 ± 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0.85 ± 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 ± 0.01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 A3 – Deep learning model performance variable combinations</w:t>
      </w:r>
      <w:r w:rsidDel="00000000" w:rsidR="00000000" w:rsidRPr="00000000">
        <w:rPr>
          <w:rtl w:val="0"/>
        </w:rPr>
        <w:t xml:space="preserve">. Performance metrics are shown as estimated mean ± SD across ten independent training runs for each scenario. Reported metrics include the F1-score (micro and macro), categorical accuracy, and area under the curve (AUC).</w:t>
      </w:r>
    </w:p>
    <w:tbl>
      <w:tblPr>
        <w:tblStyle w:val="Table3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560"/>
        <w:gridCol w:w="1635"/>
        <w:gridCol w:w="1860"/>
        <w:gridCol w:w="1695"/>
        <w:tblGridChange w:id="0">
          <w:tblGrid>
            <w:gridCol w:w="1800"/>
            <w:gridCol w:w="1560"/>
            <w:gridCol w:w="1635"/>
            <w:gridCol w:w="1860"/>
            <w:gridCol w:w="16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 (micro)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 (macro)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Cat. Accuracy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Light + Tmin + Tmax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0.87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0.76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0.87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 ±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Raw Light + Tmin + Tmax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0.81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0.69 ±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0.81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0.93 ±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0.87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0.78 ±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0.87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0.97 ±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Raw Light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0.87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0.76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0.87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 ±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Light + Tmin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0.87 ± 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0.79 ± 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0.87 ± 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 ± 0.01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Light + Tmax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0.86 ± 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0.74 ± 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0.86 ± 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0.96 ± 0.01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Raw Light + Tmin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0.83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0.71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0.83 ±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0.95 ±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Raw Light + Tmax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0.82 ±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0.68 ±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0.82 ±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0.93 ± 0.01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440" w:right="1440" w:header="720" w:footer="720"/>
      <w:lnNumType w:countBy="1" w:start="0" w:restart="continuous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ague Spartan Medium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League Spartan SemiBold">
    <w:embedRegular w:fontKey="{00000000-0000-0000-0000-000000000000}" r:id="rId7" w:subsetted="0"/>
    <w:embedBold w:fontKey="{00000000-0000-0000-0000-000000000000}" r:id="rId8" w:subsetted="0"/>
  </w:font>
  <w:font w:name="Roboto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tabs>
        <w:tab w:val="center" w:leader="none" w:pos="4513"/>
        <w:tab w:val="right" w:leader="none" w:pos="9026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League Spartan SemiBold" w:cs="League Spartan SemiBold" w:eastAsia="League Spartan SemiBold" w:hAnsi="League Spartan SemiBold"/>
      <w:color w:val="93c47d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Roboto SemiBold" w:cs="Roboto SemiBold" w:eastAsia="Roboto SemiBold" w:hAnsi="Roboto SemiBold"/>
      <w:color w:val="222222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before="320" w:lineRule="auto"/>
    </w:pPr>
    <w:rPr>
      <w:rFonts w:ascii="Roboto SemiBold" w:cs="Roboto SemiBold" w:eastAsia="Roboto SemiBold" w:hAnsi="Roboto SemiBold"/>
      <w:color w:val="434343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before="280" w:lineRule="auto"/>
    </w:pPr>
    <w:rPr>
      <w:rFonts w:ascii="Roboto" w:cs="Roboto" w:eastAsia="Roboto" w:hAnsi="Roboto"/>
      <w:b w:val="1"/>
      <w:b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80" w:line="288" w:lineRule="auto"/>
    </w:pPr>
    <w:rPr>
      <w:rFonts w:ascii="Roboto" w:cs="Roboto" w:eastAsia="Roboto" w:hAnsi="Roboto"/>
      <w:b w:val="1"/>
      <w:bCs w:val="1"/>
      <w:color w:val="222222"/>
      <w:sz w:val="54"/>
      <w:szCs w:val="5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rFonts w:ascii="League Spartan Medium" w:cs="League Spartan Medium" w:eastAsia="League Spartan Medium" w:hAnsi="League Spartan Medium"/>
      <w:color w:val="999999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agueSpartanMedium-regular.ttf"/><Relationship Id="rId2" Type="http://schemas.openxmlformats.org/officeDocument/2006/relationships/font" Target="fonts/LeagueSpartanMedium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1" Type="http://schemas.openxmlformats.org/officeDocument/2006/relationships/font" Target="fonts/RobotoSemiBold-italic.ttf"/><Relationship Id="rId10" Type="http://schemas.openxmlformats.org/officeDocument/2006/relationships/font" Target="fonts/RobotoSemiBold-bold.ttf"/><Relationship Id="rId12" Type="http://schemas.openxmlformats.org/officeDocument/2006/relationships/font" Target="fonts/RobotoSemiBold-boldItalic.ttf"/><Relationship Id="rId9" Type="http://schemas.openxmlformats.org/officeDocument/2006/relationships/font" Target="fonts/RobotoSemiBold-regular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LeagueSpartanSemiBold-regular.ttf"/><Relationship Id="rId8" Type="http://schemas.openxmlformats.org/officeDocument/2006/relationships/font" Target="fonts/LeagueSpartan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zotero-version="7.0.26"&gt;&lt;session id="mVN59D5E"/&gt;&lt;style id="http://www.zotero.org/styles/apa" locale="en-GB" hasBibliography="1" bibliographyStyleHasBeenSet="0"/&gt;&lt;prefs&gt;&lt;pref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