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Amount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ontext and Problem Statement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many databases our Microservice system will use. We need to decide which microservice will require a database and if we will use a database for each microservice that requires one or if we will use only 1 database for each microservice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Drivers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Needs to be compatible with a Microservice architecture.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Multiple different types of data needs to be stored.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 should work independently and shouldn’t need to rely on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Considered Options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Shared Database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Database by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Outcome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chosen option: “Shared Database” because of time restraint reasons as working on separate databases could be potentially too complex for the limited amount of time and experience.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Consequences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Good: Provides scalability and resilience.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Bad: Less resilient, more point of failure.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Confirmation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  <w:t xml:space="preserve">The ERD’s created for the use cases will take into account using a shared database for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Pros and Cons of the Options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Shared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Good: Easier to develop for a smaller system.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Good: Can take less time to develop.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Good: The process of combining disjoint set data structures much more straightforward.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Neutral: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Bad: All services use the same database which makes it difficult to manage each individual component, and also acts as a single point of failure.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Bad: Less resilient, if the database goes down, everything is affected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Bad: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Database by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Good: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Good: Each service is contained separately, providing strong resistance to faults so if one database goes down, only that service is affected.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Neutral: Is the typical way to design a Microservice architecture.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Bad: Potentially more difficult to develop when less experienced.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Bad: Could take longer to develop which could be a problem when time constrained.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Appendices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[1] Project overview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[1] Gupta, P. (2022, June 8). Can you really use a shared database for microservices? Search App Architecture.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https://www.techtarget.com/searchapparchitecture/tip/Can-you-really-use-a-shared-database-for-microservices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[2] Stec, A., &amp; Aibin, M. (2024, March 18). Database Design in a Microservices Architecture. Baeldung. https://www.baeldung.com/cs/microservices-db-design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32B1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32B1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32B1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32B1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32B1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32B1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32B1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32B1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32B1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32B1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32B1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32B1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32B1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32B1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32B1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32B1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32B1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32B1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32B1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32B1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32B1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32B1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32B1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32B1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32B1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32B1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32B1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32B1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32B17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echtarget.com/searchapparchitecture/tip/Can-you-really-use-a-shared-database-for-microservic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RgtNRHbAJVglrh62a4Li5K6EVA==">CgMxLjA4AHIhMU40dDkzVk9NemM0NXAtcVZkZmRINzY4M196OVRTMVVF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2024-10-31T09:15:00Z</dcterms:created>
  <dc:creator>Bradfield, Luke (Student)</dc:creator>
</cp:coreProperties>
</file>