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6CAC2816" w:rsidR="009806DF" w:rsidRDefault="009806DF" w:rsidP="0024554A">
      <w:pPr>
        <w:pStyle w:val="LabExerciseLeadIn"/>
      </w:pPr>
      <w:r>
        <w:t xml:space="preserve">This installation guide will walk you through the </w:t>
      </w:r>
      <w:r w:rsidRPr="0024554A">
        <w:t>installation</w:t>
      </w:r>
      <w:r>
        <w:t xml:space="preserve"> process to get </w:t>
      </w:r>
      <w:r w:rsidRPr="005740BD">
        <w:rPr>
          <w:b/>
          <w:bCs/>
        </w:rPr>
        <w:t>Translations Builder</w:t>
      </w:r>
      <w:r>
        <w:t xml:space="preserve"> up and running on the same machine </w:t>
      </w:r>
      <w:r w:rsidR="00202FA6">
        <w:t xml:space="preserve">where </w:t>
      </w:r>
      <w:r>
        <w:t xml:space="preserve">you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</w:t>
      </w:r>
      <w:r w:rsidR="009806DF" w:rsidRPr="00177821">
        <w:rPr>
          <w:b/>
          <w:bCs/>
        </w:rPr>
        <w:t>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</w:t>
      </w:r>
      <w:r w:rsidR="00447449" w:rsidRPr="00177821">
        <w:rPr>
          <w:b/>
          <w:bCs/>
        </w:rPr>
        <w:t>Power BI Dev Camp</w:t>
      </w:r>
      <w:r w:rsidR="00447449">
        <w:t xml:space="preserve">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32F4AEF2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7A1987F2" w:rsidR="00C709B7" w:rsidRDefault="002F54BB" w:rsidP="00287965">
      <w:r>
        <w:rPr>
          <w:noProof/>
        </w:rPr>
        <w:drawing>
          <wp:inline distT="0" distB="0" distL="0" distR="0" wp14:anchorId="0765BE24" wp14:editId="2893B083">
            <wp:extent cx="3593311" cy="18690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8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lastRenderedPageBreak/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4554A">
      <w:pPr>
        <w:pStyle w:val="LabExerciseLeadIn"/>
      </w:pPr>
      <w:r w:rsidRPr="003270B6">
        <w:t>C:\Program Files\Power BI Dev Camp\Translations Builder</w:t>
      </w:r>
    </w:p>
    <w:p w14:paraId="4C74994E" w14:textId="7CE0EAAB" w:rsidR="003270B6" w:rsidRDefault="003270B6" w:rsidP="00287965">
      <w:r>
        <w:t xml:space="preserve">Here is </w:t>
      </w:r>
      <w:r w:rsidR="006157AA">
        <w:t xml:space="preserve">what this folder looks like </w:t>
      </w:r>
      <w:r w:rsidR="00CC5294">
        <w:t xml:space="preserve">after installation </w:t>
      </w:r>
      <w:r w:rsidR="006157AA">
        <w:t>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r w:rsidRPr="006157AA">
        <w:rPr>
          <w:b/>
          <w:bCs/>
        </w:rPr>
        <w:t>translationsbuilder.pbitool.json</w:t>
      </w:r>
      <w:r>
        <w:t xml:space="preserve"> into the following folder.</w:t>
      </w:r>
    </w:p>
    <w:p w14:paraId="3D7B7359" w14:textId="77777777" w:rsidR="006157AA" w:rsidRDefault="003270B6" w:rsidP="0024554A">
      <w:pPr>
        <w:pStyle w:val="LabExerciseLeadIn"/>
      </w:pPr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r w:rsidRPr="006157AA">
        <w:rPr>
          <w:b/>
          <w:bCs/>
        </w:rPr>
        <w:t>translationsbuilder.pbitool.json</w:t>
      </w:r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*.pbitool.json</w:t>
      </w:r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r w:rsidRPr="006157AA">
        <w:rPr>
          <w:b/>
          <w:bCs/>
        </w:rPr>
        <w:t>translationsbuilder.pbitool.json</w:t>
      </w:r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5D55C470">
            <wp:extent cx="4637626" cy="13464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02" cy="13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r w:rsidRPr="006157AA">
        <w:rPr>
          <w:b/>
          <w:bCs/>
        </w:rPr>
        <w:t>translationsbuilder.pbitool.json</w:t>
      </w:r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993150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7DC2" w14:textId="77777777" w:rsidR="00063795" w:rsidRDefault="00063795" w:rsidP="002754DA">
      <w:pPr>
        <w:spacing w:before="0" w:after="0"/>
      </w:pPr>
      <w:r>
        <w:separator/>
      </w:r>
    </w:p>
  </w:endnote>
  <w:endnote w:type="continuationSeparator" w:id="0">
    <w:p w14:paraId="108E5172" w14:textId="77777777" w:rsidR="00063795" w:rsidRDefault="00063795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AF6B" w14:textId="77777777" w:rsidR="00063795" w:rsidRDefault="00063795" w:rsidP="002754DA">
      <w:pPr>
        <w:spacing w:before="0" w:after="0"/>
      </w:pPr>
      <w:r>
        <w:separator/>
      </w:r>
    </w:p>
  </w:footnote>
  <w:footnote w:type="continuationSeparator" w:id="0">
    <w:p w14:paraId="4C2FBE09" w14:textId="77777777" w:rsidR="00063795" w:rsidRDefault="00063795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1CC09A0E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2F54BB">
      <w:rPr>
        <w:rFonts w:cs="Arial"/>
        <w:noProof/>
      </w:rPr>
      <w:t>Dec 13,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795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2FA6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554A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4BB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7DD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3150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571F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294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145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19</cp:revision>
  <cp:lastPrinted>2015-10-27T18:03:00Z</cp:lastPrinted>
  <dcterms:created xsi:type="dcterms:W3CDTF">2022-11-21T22:13:00Z</dcterms:created>
  <dcterms:modified xsi:type="dcterms:W3CDTF">2022-12-13T15:08:00Z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