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 [37, 38]</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r>
        <w:t>Eigentokens define a storage‑internal, grammar‑centric programming substrate that serves two purposes at once: (i) a deterministic, component‑based language to assemble and compile Large Language Models (ELM/CELM), and (ii) a byte‑grammar–aware storage kernel enabling inline deduplication and lossless compression with range‑friendly access in an S3/KV facade.</w:t>
      </w:r>
    </w:p>
    <w:p>
      <w:r>
        <w:t>Tokens are not linguistic words but reusable byte‑level productions mapped onto a non‑strict B+ forest; each token can carry data and/or an interpretation‑program. This dual role turns the object store into a grammar‑backed build system: Eigentokens can compile M2 meta‑rules into M1 model artifacts while preserving seekability and space efficiency.</w:t>
      </w:r>
    </w:p>
    <w:p>
      <w:r>
        <w:t>We evaluate both facets: (A) systems metrics (deduplication/compression ratios, ingest throughput, write amplification, and HTTP Range tail latencies P50/P95/P99) against CDC/BGZF/seekable baselines; and (B) compilation efficacy of ELM/CELM (module reuse, determinism, reproducibility, and debug‑ability), without relying on floating‑point nondeterminism in core decisions.</w:t>
      </w:r>
    </w:p>
    <w:p>
      <w:r>
        <w:t>Eigentokens is a storage‑internal, grammar‑centric substrate that does two jobs at once: it is a deterministic, component‑based language for composing and compiling LLM artefacts (ELM/CELM), and it is a byte‑grammar–aware storage kernel with inline deduplication, lossless compression, and token‑aligned range access behind an S3/KV facade.</w:t>
      </w:r>
    </w:p>
    <w:p>
      <w:r>
        <w:t>Tokens here are not words. They are reusable byte‑level productions that can carry data and micro‑programs and are mapped to a non‑strict B+ forest. The store becomes a compiler’s intermediate representation and build graph: productions, versions, and dependencies are first‑class and remain seekable on disk (HTTP Range per RFC 9110). [33]</w:t>
      </w:r>
    </w:p>
    <w:p>
      <w:r>
        <w:t>We evaluate both sides: (i) systems metrics—dedup/compression ratios, ingest throughput, write amplification, and P50/P95/P99 tail latency versus fixed‑size+zstd, FastCDC±zstd‑seekable, and BGZF [1, 3–5, 21, 22]—and (ii) compilation efficacy—module reuse, determinism, and reproducibility—without floating‑point nondeterminism in core decisions. (CDC/FastCDC; Sequitur/Re‑Pair/SLP for contrast: [1, 3–5, 7–11].)</w:t>
      </w:r>
    </w:p>
    <w:p w14:paraId="0520E747" w14:textId="77777777" w:rsidR="008027E5" w:rsidRPr="00252DF1" w:rsidRDefault="00D07C52">
      <w:pPr>
        <w:pStyle w:val="berschrift1"/>
        <w:rPr>
          <w:rFonts w:ascii="Calibri" w:hAnsi="Calibri" w:cs="Calibri"/>
          <w:sz w:val="24"/>
          <w:szCs w:val="24"/>
        </w:rPr>
      </w:pPr>
      <w:r>
        <w:t>Abstract</w:t>
      </w:r>
    </w:p>
    <w:p w14:paraId="14C21865" w14:textId="77777777" w:rsidR="008027E5" w:rsidRPr="00252DF1" w:rsidRDefault="00D07C52">
      <w:pPr>
        <w:pStyle w:val="berschrift1"/>
        <w:rPr>
          <w:rFonts w:ascii="Calibri" w:hAnsi="Calibri" w:cs="Calibri"/>
          <w:sz w:val="24"/>
          <w:szCs w:val="24"/>
        </w:rPr>
      </w:pPr>
      <w: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 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r>
        <w:t>Modern AI/analytics pipelines exhibit high redundancy and frequent small range reads. Conventional object stores either compress or store whole blobs (hurting seekability) or deduplicate coarsely (losing editlocality).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t>We have observed within ourselves, that humans’ intelligence is based on learning sequential tasks and recombining them recursively by ordering multiple experiences as single blocks or groups of experiences, while base data is interpreted from different perspectives. Forming our knowledge is a modular process, therefore learning itself as a concept should be. Evolving AI technologies into a modular science is a breakpoint software engineering already has seen. In the result, we may see an evolution that AI technologies may set themselves apart as knowledge technologies, which have the fundament of computer science as their base, just as electrical engineering set apart computer science from itself.</w:t>
      </w:r>
    </w:p>
    <w:p w14:paraId="0307E4B1" w14:textId="6D8185B1" w:rsidR="00942188" w:rsidRDefault="000914F4">
      <w:pPr>
        <w:rPr>
          <w:rFonts w:ascii="Calibri" w:hAnsi="Calibri" w:cs="Calibri"/>
          <w:sz w:val="24"/>
          <w:szCs w:val="24"/>
        </w:rPr>
      </w:pPr>
      <w:r>
        <w:t>In general, we have observed how the era of computer science evolved in terms of software engineering, unraveling assembly code into modular component structures using different compilers to transfer the plan of a programming language into a machine-readable description. This is true for script languages and compiled programs. Once more, I’d like to contribute to this procedure in terms of LLM Model creation, composition and research. Therefore, ELM models should create a new M2 meta-metamodel layer, that can compile knowledge into M1 language models, while being maintainable in transient components. Like C++ and Java delivered advantages to languages like C, Fortran, Cobol and Algol 60, in terms of modularity, concepts, build, templates and later design patterns, we now skip the process of reinventing the wheel to repeat the process on LLM evolution stepwise. ELM or CELM should be compound data models that live in the M2 meta layer and define LLM model construction by separating Interpretations and knowledge, like program context was once split away from the data to be processed on the Harvard architecture. In common, this structure should be able to simulate any resulting LLM model before compilation, so efficient debugging is thinkable. For this summary we first require the fundaments of “Computer architecture” by Andrew S. Tanenbaum and compiler construction in “Compilers Principles, Techniques, and Tools Alfred V. Aho” to describe the processing of rules into detected patterns and behaviors, to build interpretations/programs on Eigentoken data. Second, we require the fundaments of “Invasive Software Composition” by Uwe Aßmann to define, merge, plug and replace data component that are detected within loosely stored object storages.</w:t>
      </w:r>
    </w:p>
    <w:p w14:paraId="7C0A1EFA" w14:textId="6BBBBFBB" w:rsidR="00292C65" w:rsidRPr="00252DF1" w:rsidRDefault="00E667B2">
      <w:pPr>
        <w:rPr>
          <w:rFonts w:ascii="Calibri" w:hAnsi="Calibri" w:cs="Calibri"/>
          <w:sz w:val="24"/>
          <w:szCs w:val="24"/>
        </w:rPr>
      </w:pPr>
      <w:r>
        <w:t>Nowadays we are still in the age of handcrafted LLM experiments and experience and we shall go the same way as software engineering did to reach maturity of knowledge science, which uses AI machinery as a tool of discovery.</w:t>
      </w:r>
    </w:p>
    <w:p w14:paraId="18557F2C" w14:textId="77777777" w:rsidR="008027E5" w:rsidRPr="00252DF1" w:rsidRDefault="00D07C52">
      <w:pPr>
        <w:pStyle w:val="berschrift1"/>
        <w:rPr>
          <w:rFonts w:ascii="Calibri" w:hAnsi="Calibri" w:cs="Calibri"/>
          <w:sz w:val="24"/>
          <w:szCs w:val="24"/>
        </w:rPr>
      </w:pPr>
      <w:r>
        <w:t>Prior Work: UltiHash vs. Eigentokens</w:t>
      </w:r>
    </w:p>
    <w:p w14:paraId="22FC798D" w14:textId="5C23F124" w:rsidR="008027E5" w:rsidRPr="00252DF1" w:rsidRDefault="00D07C52">
      <w:pPr>
        <w:rPr>
          <w:rFonts w:ascii="Calibri" w:hAnsi="Calibri" w:cs="Calibri"/>
          <w:sz w:val="24"/>
          <w:szCs w:val="24"/>
        </w:rPr>
      </w:pPr>
      <w:r>
        <w:t>This section clarifies how the proposed work by Benjamin-Elias Probst differs from his earlier prototype at UltiHash.</w:t>
      </w:r>
    </w:p>
    <w:p w14:paraId="4ACFE366" w14:textId="77777777" w:rsidR="008027E5" w:rsidRPr="00252DF1" w:rsidRDefault="00D07C52">
      <w:pPr>
        <w:pStyle w:val="Aufzhlungszeichen"/>
        <w:rPr>
          <w:rFonts w:ascii="Calibri" w:hAnsi="Calibri" w:cs="Calibri"/>
          <w:sz w:val="24"/>
          <w:szCs w:val="24"/>
        </w:rPr>
      </w:pPr>
      <w:r>
        <w:t>UltiHash (earlier approach):</w:t>
      </w:r>
    </w:p>
    <w:p w14:paraId="24539D58" w14:textId="77777777" w:rsidR="008027E5" w:rsidRPr="00252DF1" w:rsidRDefault="00D07C52">
      <w:pPr>
        <w:pStyle w:val="Aufzhlungszeichen2"/>
        <w:rPr>
          <w:rFonts w:ascii="Calibri" w:hAnsi="Calibri" w:cs="Calibri"/>
          <w:sz w:val="24"/>
          <w:szCs w:val="24"/>
        </w:rPr>
      </w:pPr>
      <w:r>
        <w:t>Static chunking with a few brute‑force entry points into deduplicable snippets.</w:t>
      </w:r>
    </w:p>
    <w:p w14:paraId="36C7F1EA" w14:textId="77777777" w:rsidR="008027E5" w:rsidRPr="00252DF1" w:rsidRDefault="00D07C52">
      <w:pPr>
        <w:pStyle w:val="Aufzhlungszeichen2"/>
        <w:rPr>
          <w:rFonts w:ascii="Calibri" w:hAnsi="Calibri" w:cs="Calibri"/>
          <w:sz w:val="24"/>
          <w:szCs w:val="24"/>
        </w:rPr>
      </w:pPr>
      <w:r>
        <w:t>Pre‑allocated 1‑GB blocks sorting static snippets; two‑level tree layout.</w:t>
      </w:r>
    </w:p>
    <w:p w14:paraId="2F9879A5" w14:textId="3DF1B85A" w:rsidR="008027E5" w:rsidRPr="00252DF1" w:rsidRDefault="00D07C52">
      <w:pPr>
        <w:pStyle w:val="Aufzhlungszeichen2"/>
        <w:rPr>
          <w:rFonts w:ascii="Calibri" w:hAnsi="Calibri" w:cs="Calibri"/>
          <w:sz w:val="24"/>
          <w:szCs w:val="24"/>
        </w:rPr>
      </w:pPr>
      <w:r>
        <w:t>Indirect deduplication up to ~40% observed, but no grammar, no range‑optimized meta‑structure,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r>
        <w:t>Eigentokens (this work):</w:t>
      </w:r>
    </w:p>
    <w:p w14:paraId="4386C8A1" w14:textId="73FE654D" w:rsidR="008027E5" w:rsidRPr="00252DF1" w:rsidRDefault="00D07C52">
      <w:pPr>
        <w:pStyle w:val="Aufzhlungszeichen2"/>
        <w:rPr>
          <w:rFonts w:ascii="Calibri" w:hAnsi="Calibri" w:cs="Calibri"/>
          <w:sz w:val="24"/>
          <w:szCs w:val="24"/>
        </w:rPr>
      </w:pPr>
      <w:r>
        <w:t>Grammar‑aware dynamic chunking: CDC seeding followed by merging into grammar tokens (meta-productions)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t>Non‑strict B+ forest as layout/metadata image of the grammar (production = internal node, leaf = token‑aligned (e.g., zstd‑compressed) block with offsets).</w:t>
      </w:r>
    </w:p>
    <w:p w14:paraId="32BAA6B7" w14:textId="77777777" w:rsidR="008027E5" w:rsidRPr="00252DF1" w:rsidRDefault="00D07C52">
      <w:pPr>
        <w:pStyle w:val="Aufzhlungszeichen2"/>
        <w:rPr>
          <w:rFonts w:ascii="Calibri" w:hAnsi="Calibri" w:cs="Calibri"/>
          <w:sz w:val="24"/>
          <w:szCs w:val="24"/>
        </w:rPr>
      </w:pPr>
      <w: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latencies (see Glossary).</w:t>
      </w:r>
    </w:p>
    <w:p>
      <w:r>
        <w:t>S3/KV facade with token‑aligned range maps for low tail latenc (see Glossary)ies.</w:t>
      </w:r>
    </w:p>
    <w:p w14:paraId="188185AB" w14:textId="4E4469D2" w:rsidR="00597A82" w:rsidRPr="00252DF1" w:rsidRDefault="00597A82">
      <w:pPr>
        <w:pStyle w:val="Aufzhlungszeichen2"/>
        <w:rPr>
          <w:rFonts w:ascii="Calibri" w:hAnsi="Calibri" w:cs="Calibri"/>
          <w:sz w:val="24"/>
          <w:szCs w:val="24"/>
        </w:rPr>
      </w:pPr>
      <w:r>
        <w:t>AI interface for configuration, statistics, token-stack, debugging, fact injection, compilation control</w:t>
      </w:r>
    </w:p>
    <w:p w14:paraId="6CC61024" w14:textId="77777777" w:rsidR="008027E5" w:rsidRPr="00252DF1" w:rsidRDefault="00D07C52">
      <w:pPr>
        <w:pStyle w:val="berschrift1"/>
        <w:rPr>
          <w:rFonts w:ascii="Calibri" w:hAnsi="Calibri" w:cs="Calibri"/>
          <w:sz w:val="24"/>
          <w:szCs w:val="24"/>
        </w:rPr>
      </w:pPr>
      <w:r>
        <w:t>Scope &amp; Non‑Overlap</w:t>
      </w:r>
    </w:p>
    <w:p>
      <w:r>
        <w:t>Scope &amp; Non‑Overlap. Eigentokens does not define a new NLP tokenizer and no generative language model per se. It defines a storage‑near **compilation language** for LLM artefacts over byte‑grammars; linguistic tokenization is out of scope. Determinism claims are confined to storage‑level grammar induction, layout, and build orchestration; probabilistic inference remains separate. Evaluation focuses on system metrics and compile‑time reproducibility, not on NLP‑benchmarks.</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r>
        <w:t>KeyValue/Object stores: B+trees versus LSMtrees — tradeoffs in write amplification, compaction, and recovery.</w:t>
      </w:r>
    </w:p>
    <w:p>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r>
        <w:t>Reframing of scope. Eigentokens elevate prior ‘grammar‑aware deduplication’ into a **deterministic compilation language for LLMs**. The same grammar tokens that power inline deduplication and range‑friendly layout also act as **ELM/CELM modules** whose productions, versions, and dependencies are stored and resolved in a non‑strict B+ forest. Thus, storage is not only the repository of data; it becomes the **compiler’s IR and build graph** for constructing, analyzing, and debugging LLM artifacts.</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r>
        <w:t>Reframing. Eigentokens lifts ‘grammar‑aware deduplication’ into a **deterministic compilation language**: the same byte‑grammar tokens that stabilize boundaries also encode modules, interfaces, and builds in a non‑strict B+ forest—a composition‑driven view of system construction (cf. software composition). [33, 39]</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 [34]. [35]</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 [36]</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r>
        <w:t>C1 (Cross‑Object Grammar Induction): A deterministic, storage‑near grammar induction learns reusable productions across objects and keeps boundaries edit‑stable under insert/shift/rename workloads.</w:t>
      </w:r>
    </w:p>
    <w:p>
      <w:r>
        <w:t>C2 (Token‑Aligned B+‑Forest Layout): Productions are mapped to a non‑strict B+‑forest whose leaves are token‑aligned and support seekable substring extraction without full rehydration.</w:t>
      </w:r>
    </w:p>
    <w:p>
      <w:r>
        <w:t>C3 (Async Inline Ingest with Bounded Cost): An asynchronous inline pipeline writes stable references first and bounds tokenization depth to control CPU and write amplification.</w:t>
      </w:r>
    </w:p>
    <w:p>
      <w:r>
        <w:t>C4 (Seekable Compression Unification): Grammar tokens unify with seekable compressed leaves (e.g., zstd‑seekable/BGZF) to preserve random access while enabling cross‑object reuse.</w:t>
      </w:r>
    </w:p>
    <w:p>
      <w:r>
        <w:t>C5 (HTTP Range Compliance): An S3/KV path implements HTTP Range semantics per RFC 9110 with token‑aligned block maps and correct HEAD/GET behavior.</w:t>
      </w:r>
    </w:p>
    <w:p>
      <w:r>
        <w:t>C6 (Tail‑Latency &amp; Amplification Evidence): Empirical evidence of lower P95/P99 tail latencies and reduced write amplification versus fixed‑size+zstd, FastCDC±zstd‑seekable, BGZF, flat mapping, and (optionally) minimal LSM/WiscKey.</w:t>
      </w:r>
    </w:p>
    <w:p>
      <w:r>
        <w:t>C7 (Ablation &amp; Formal Properties): An ablation suite isolates grammar, forest, and async effects; invariants at boundaries and amplification bounds under edits are stated.</w:t>
      </w:r>
    </w:p>
    <w:p>
      <w:r>
        <w:t>C8 (Deterministic Reproducibility): A deterministic C++ prototype and open harness with reproducible runs (datasets, scripts) without FP‑nondeterminism in core decisions.</w:t>
      </w:r>
    </w:p>
    <w:p w14:paraId="6AE335BA" w14:textId="77777777" w:rsidR="008027E5" w:rsidRPr="00252DF1" w:rsidRDefault="00D07C52">
      <w:pPr>
        <w:pStyle w:val="berschrift1"/>
        <w:rPr>
          <w:rFonts w:ascii="Calibri" w:hAnsi="Calibri" w:cs="Calibri"/>
          <w:sz w:val="24"/>
          <w:szCs w:val="24"/>
        </w:rPr>
      </w:pPr>
      <w:r>
        <w:t>Contributions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r>
        <w:t>[27] Anthropic. “Claude 3.7 Sonnet and Claude Code — Announcement,” Feb 24, 2025. https://www.anthropic.com/news/claude-3-7-sonnet</w:t>
      </w:r>
    </w:p>
    <w:p>
      <w:r>
        <w:t>[28] Anthropic. “Claude 3.7 Sonnet — System Card (PDF),” 2025. https://www.anthropic.com/claude-3-7-sonnet-system-card</w:t>
      </w:r>
    </w:p>
    <w:p>
      <w:r>
        <w:t>[29] Anthropic. “Introducing Claude 4 — Opus 4 and Sonnet 4,” May 22, 2025. https://www.anthropic.com/news/claude-4</w:t>
      </w:r>
    </w:p>
    <w:p>
      <w:r>
        <w:t>[30] Anthropic. “System Card: Claude Opus 4 &amp; Claude Sonnet 4 (PDF),” May 2025. https://www-cdn.anthropic.com/4263b940cabb546aa0e3283f35b686f4f3b2ff47.pdf</w:t>
      </w:r>
    </w:p>
    <w:p>
      <w:r>
        <w:t>[31] Anthropic. “Introducing Claude Sonnet 4.5,” Sep 29, 2025. https://www.anthropic.com/news/claude-sonnet-4-5</w:t>
      </w:r>
    </w:p>
    <w:p>
      <w:r>
        <w:t>[32] Anthropic. “Claude Sonnet 4.5 — System Card,” Sep 2025. https://www.anthropic.com/claude-sonnet-4-5-system-card</w:t>
      </w:r>
    </w:p>
    <w:p>
      <w:r>
        <w:t>[33] OpenAI. “Hello GPT‑4o (Omni),” May 13, 2024. https://openai.com/index/hello-gpt-4o/</w:t>
      </w:r>
    </w:p>
    <w:p>
      <w:r>
        <w:t>[34] OpenAI. “Introducing GPT‑4.1 in the API,” Apr 14, 2025. https://openai.com/index/gpt-4-1/</w:t>
      </w:r>
    </w:p>
    <w:p>
      <w:r>
        <w:t>[35] OpenAI. “Introducing GPT‑5,” Aug 7, 2025. https://openai.com/index/introducing-gpt-5/</w:t>
      </w:r>
    </w:p>
    <w:p>
      <w:r>
        <w:t>[36] Gemini Team (Google). “Gemini 1.5: Unlocking multimodal understanding across millions of tokens of context,” arXiv:2403.05530, 2024. https://arxiv.org/abs/2403.05530</w:t>
      </w:r>
    </w:p>
    <w:p>
      <w:r>
        <w:t>[37] Kuruppu, S., Puglisi, S.J., Zobel, J. “Relative Lempel‑Ziv Compression of Genomes for Large‑Scale Storage and Retrieval,” SPIRE 2010. https://doi.org/10.1007/978-3-642-16321-0_20</w:t>
      </w:r>
    </w:p>
    <w:p>
      <w:r>
        <w:t>[38] Kuruppu, S., Puglisi, S.J., Zobel, J. “Optimized Relative Lempel‑Ziv Compression of Genomes,” CRPIT 2011. https://crpit.scem.westernsydney.edu.au/abstracts/CRPITV113Kuruppu.html</w:t>
      </w:r>
    </w:p>
    <w:p>
      <w:r>
        <w:t>[39] U. Aßmann. “Invasive Software Composition.” Springer, 2003.</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