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Speaker guide</w:t>
      </w:r>
    </w:p>
    <w:p>
      <w:pPr>
        <w:pStyle w:val="Subtitle"/>
      </w:pPr>
      <w:r>
        <w:t>Cache-line awareness: constructing comparable index algorithms</w:t>
      </w:r>
    </w:p>
    <w:p>
      <w:r>
        <w:t>15 main slides · 19-minute target · approximately 6 minutes for questions. English slides and narration. Main chapter order and the three historical pilot result slides remain unchanged. The eight backup slides are outside the timed route.</w:t>
      </w:r>
    </w:p>
    <w:p>
      <w:pPr>
        <w:pStyle w:val="BodyText"/>
      </w:pPr>
      <w:r>
        <w:t>The revised explanation follows the active German thesis: selected axis implementations form working organs; interface wiring turns those organs into the complete algorithm. The storage example is T4 (node type) + T5 (memory layout) + T6 (allocator).</w:t>
      </w:r>
    </w:p>
    <w:p>
      <w:pPr>
        <w:pStyle w:val="Heading1"/>
      </w:pPr>
      <w:r>
        <w:t>01  Active Cache-Aware Hardware Adaptation:</w:t>
        <w:br/>
        <w:t>Cache Engine for Trie-Based Index Structures</w:t>
      </w:r>
    </w:p>
    <w:p>
      <w:pPr>
        <w:keepNext/>
        <w:spacing w:after="120"/>
      </w:pPr>
      <w:r>
        <w:rPr>
          <w:b/>
          <w:color w:val="00878C"/>
          <w:sz w:val="18"/>
        </w:rPr>
        <w:t>00:00–00:20 | 20 seconds</w:t>
      </w:r>
    </w:p>
    <w:p>
      <w:r>
        <w:t>This thesis studies main-memory index structures from the perspective of cache-line awareness. I will start with the task that an index solves, explain the design problem, and then show the concept, its implementation, and three representative pilot comparisons. The central question is which design decisions help under which conditions.</w:t>
      </w:r>
    </w:p>
    <w:p>
      <w:pPr>
        <w:pStyle w:val="Heading1"/>
      </w:pPr>
      <w:r>
        <w:t>02  What is an index for?</w:t>
      </w:r>
    </w:p>
    <w:p>
      <w:pPr>
        <w:keepNext/>
        <w:spacing w:after="120"/>
      </w:pPr>
      <w:r>
        <w:rPr>
          <w:b/>
          <w:color w:val="00878C"/>
          <w:sz w:val="18"/>
        </w:rPr>
        <w:t>00:20–01:25 | 65 seconds</w:t>
      </w:r>
    </w:p>
    <w:p>
      <w:r>
        <w:t>Suppose a database contains records identified by keys. A query asks for the record associated with the key cat. Without an index, one possible approach is to inspect records until the key is found. An index provides a navigation structure from the key to the requested record. The same structure may also support insertion, deletion and ordered navigation.</w:t>
      </w:r>
    </w:p>
    <w:p>
      <w:r>
        <w:t>The important distinction in this drawing is between the index and the data. The index supplies a path; a leaf or terminal entry supplies a reference to the record. Different index structures can implement the same externally visible operation while following very different paths through memory.</w:t>
      </w:r>
    </w:p>
    <w:p>
      <w:r>
        <w:t>My scope is principally CPU-based, main-memory search. The question is not simply which data structure has a familiar name or the best asymptotic bound. It is how the physical implementation of this navigation affects performance under an explicitly defined workload. We first need to understand the existing design choices before discussing the apparatus that compares them.</w:t>
      </w:r>
    </w:p>
    <w:p>
      <w:r>
        <w:br w:type="page"/>
      </w:r>
    </w:p>
    <w:p>
      <w:pPr>
        <w:pStyle w:val="Heading1"/>
      </w:pPr>
      <w:r>
        <w:t>03  Roadmap — following the thesis</w:t>
      </w:r>
    </w:p>
    <w:p>
      <w:pPr>
        <w:keepNext/>
        <w:spacing w:after="120"/>
      </w:pPr>
      <w:r>
        <w:rPr>
          <w:b/>
          <w:color w:val="00878C"/>
          <w:sz w:val="18"/>
        </w:rPr>
        <w:t>01:25–01:45 | 20 seconds</w:t>
      </w:r>
    </w:p>
    <w:p>
      <w:r>
        <w:t>The presentation follows the thesis. Introduction and background establish the problem and the related work. The concept explains the common design space. Implementation turns a specification into measurable candidates. Evaluation then examines three concrete comparisons. I close with what the evidence supports and what still needs final validation.</w:t>
      </w:r>
    </w:p>
    <w:p>
      <w:pPr>
        <w:pStyle w:val="Heading1"/>
      </w:pPr>
      <w:r>
        <w:t>04  Existing indexes make different choices</w:t>
      </w:r>
    </w:p>
    <w:p>
      <w:pPr>
        <w:keepNext/>
        <w:spacing w:after="120"/>
      </w:pPr>
      <w:r>
        <w:rPr>
          <w:b/>
          <w:color w:val="00878C"/>
          <w:sz w:val="18"/>
        </w:rPr>
        <w:t>01:45–03:15 | 90 seconds</w:t>
      </w:r>
    </w:p>
    <w:p>
      <w:r>
        <w:t>Main-memory index research contains several approaches to reducing navigation and memory costs. CSS and CSB-plus trees emphasize the organization of directories and child groups. ART adapts node representations to the number of children. HOT uses discriminating bits to reduce navigation height. Masstree combines key slices with layered tree structures.</w:t>
      </w:r>
    </w:p>
    <w:p>
      <w:r>
        <w:t>These are established techniques, not contributions of this thesis. They show why comparing index names alone is not enough: a published implementation is a bundle of decisions.</w:t>
      </w:r>
    </w:p>
    <w:p>
      <w:r>
        <w:t>The cache-line drawing makes one physical consequence visible. A transfer brings a line of bytes into the cache, but a lookup may use only part of it. Grouping relevant fields can improve useful-byte density. Conversely, a larger representation can reduce some search work while increasing the amount of memory involved. The illustrated line is 64 bytes; that is an example, not a universal hardware assumption.</w:t>
      </w:r>
    </w:p>
    <w:p>
      <w:r>
        <w:t>This leads to the thesis problem: when two complete implementations perform differently, which part of the bundle caused the difference? We need to make the candidate decisions explicit while preserving the operation being compared.</w:t>
      </w:r>
    </w:p>
    <w:p>
      <w:r>
        <w:br w:type="page"/>
      </w:r>
    </w:p>
    <w:p>
      <w:pPr>
        <w:pStyle w:val="Heading1"/>
      </w:pPr>
      <w:r>
        <w:t>05  From design axes to a storage organ</w:t>
      </w:r>
    </w:p>
    <w:p>
      <w:pPr>
        <w:keepNext/>
        <w:spacing w:after="120"/>
      </w:pPr>
      <w:r>
        <w:rPr>
          <w:b/>
          <w:color w:val="00878C"/>
          <w:sz w:val="18"/>
        </w:rPr>
        <w:t>03:15–04:30 | 75 seconds</w:t>
      </w:r>
    </w:p>
    <w:p>
      <w:r>
        <w:t>The five categories organise the design space; they are not five executable modules. Let us zoom into a concrete part of an ART-derived framework configuration: storage. We need a node representation, a physical layout and an allocation strategy.</w:t>
      </w:r>
    </w:p>
    <w:p>
      <w:r>
        <w:t>On each axis we choose a concrete building block. In this illustration the choices are Node4, cache-line-aligned layout and mimalloc. The alternatives remain visible on the left. These names also occur in the persisted ART profile that I will show shortly; this is a reconstructed framework example, not a claim of original-ART fidelity.</w:t>
      </w:r>
    </w:p>
    <w:p>
      <w:r>
        <w:t>The selected pieces now come together. Node type contributes capacity, layout contributes the byte arrangement, and the allocator supplies memory. Together they form a functional storage organ. The composed organ exposes the StorageOrgan interface.</w:t>
      </w:r>
    </w:p>
    <w:p>
      <w:r>
        <w:t>This is the missing construction step: the framework does not merely label an existing index. It composes a working part from selected implementations. Next, we connect that part to the rest of the algorithm.</w:t>
      </w:r>
    </w:p>
    <w:p>
      <w:pPr>
        <w:spacing w:after="180"/>
      </w:pPr>
      <w:r>
        <w:rPr>
          <w:i/>
          <w:color w:val="657487"/>
          <w:sz w:val="18"/>
        </w:rPr>
        <w:t>Presenter cue — Click 1: selected implementations form the storage organ. Click 2: the shared StorageOrgan interface appears.</w:t>
      </w:r>
    </w:p>
    <w:p>
      <w:pPr>
        <w:pStyle w:val="Heading1"/>
      </w:pPr>
      <w:r>
        <w:t>06  Wire organs into a complete algorithm</w:t>
      </w:r>
    </w:p>
    <w:p>
      <w:pPr>
        <w:keepNext/>
        <w:spacing w:after="120"/>
      </w:pPr>
      <w:r>
        <w:rPr>
          <w:b/>
          <w:color w:val="00878C"/>
          <w:sz w:val="18"/>
        </w:rPr>
        <w:t>04:30–05:55 | 85 seconds</w:t>
      </w:r>
    </w:p>
    <w:p>
      <w:r>
        <w:t>Here is the same storage organ inside a complete SearchAlgorithm anatomy. We keep the request find cat and the expected value forty-two from the introductory example.</w:t>
      </w:r>
    </w:p>
    <w:p>
      <w:r>
        <w:t>Let us expand the body. The search organ performs the search logic. The storage organ contains the selected node, layout and allocator implementations. The value-handle policy describes access to the payload. The remaining organ slots are still bound; the slide simply does not expand every one.</w:t>
      </w:r>
    </w:p>
    <w:p>
      <w:r>
        <w:t>Now follow the operative connections. Search must use the StorageOrgan interface. Otherwise, replacing the selected layout or allocator would change a label but not the real search path. In the thesis, anatomy means this composition and this wiring together.</w:t>
      </w:r>
    </w:p>
    <w:p>
      <w:r>
        <w:t>Changing one compatible building block therefore changes a part of the body. We recompose and compile a new candidate, then compare the complete algorithms under the same external contract. We do not compare an isolated collection of unrelated microbenchmarks.</w:t>
      </w:r>
    </w:p>
    <w:p>
      <w:r>
        <w:t>The important boundary is that a framework composition is not automatically a faithful reconstruction of the original paper. That requires separate provenance and conformance evidence.</w:t>
      </w:r>
    </w:p>
    <w:p>
      <w:pPr>
        <w:spacing w:after="180"/>
      </w:pPr>
      <w:r>
        <w:rPr>
          <w:i/>
          <w:color w:val="657487"/>
          <w:sz w:val="18"/>
        </w:rPr>
        <w:t>Presenter cue — Click 1: the organs form the body. Click 2: show the mandatory service connections and complete lookup.</w:t>
      </w:r>
    </w:p>
    <w:p>
      <w:r>
        <w:br w:type="page"/>
      </w:r>
    </w:p>
    <w:p>
      <w:pPr>
        <w:pStyle w:val="Heading1"/>
      </w:pPr>
      <w:r>
        <w:t>07  Three design spaces, two binding times</w:t>
      </w:r>
    </w:p>
    <w:p>
      <w:pPr>
        <w:keepNext/>
        <w:spacing w:after="120"/>
      </w:pPr>
      <w:r>
        <w:rPr>
          <w:b/>
          <w:color w:val="00878C"/>
          <w:sz w:val="18"/>
        </w:rPr>
        <w:t>05:55–07:10 | 75 seconds</w:t>
      </w:r>
    </w:p>
    <w:p>
      <w:r>
        <w:t>We have now assembled one algorithmic body. That body is only one part of an experiment. The thesis separates organ decisions, system decisions and measurement decisions.</w:t>
      </w:r>
    </w:p>
    <w:p>
      <w:r>
        <w:t>The organ space supplies the strategies we have just composed. System choices supply the execution environment and permitted hardware-specific facilities. Measurement choices determine how observations are obtained and which workloads and datasets are used. System and measurement are not additional pieces of the storage organ.</w:t>
      </w:r>
    </w:p>
    <w:p>
      <w:r>
        <w:t>These decisions also have binding times. A main strategy is fixed in the compiled candidate. An allowed sub-axis value can be supplied later, for example a prefetch distance or resource budget. The same principle is applied across the staged framework.</w:t>
      </w:r>
    </w:p>
    <w:p>
      <w:r>
        <w:t>For a controlled comparison we keep the relevant system, workload and measurement conditions fixed while changing the intended component. The terminology remains compile-time composition, runtime parameterization, and measurement-driven binary selection.</w:t>
      </w:r>
    </w:p>
    <w:p>
      <w:pPr>
        <w:pStyle w:val="Heading1"/>
      </w:pPr>
      <w:r>
        <w:t>08  The profile binds the pieces of the anatomy</w:t>
      </w:r>
    </w:p>
    <w:p>
      <w:pPr>
        <w:keepNext/>
        <w:spacing w:after="120"/>
      </w:pPr>
      <w:r>
        <w:rPr>
          <w:b/>
          <w:color w:val="00878C"/>
          <w:sz w:val="18"/>
        </w:rPr>
        <w:t>07:10–08:35 | 85 seconds</w:t>
      </w:r>
    </w:p>
    <w:p>
      <w:r>
        <w:t>We now move from the concept to implementation. This is a shortened extract from the actual persisted ART profile. The node, layout and allocator entries bind the three coloured pieces that formed our storage organ. The complete profile contains further choices that are deliberately omitted here.</w:t>
      </w:r>
    </w:p>
    <w:p>
      <w:r>
        <w:t>These selected implementations become the composed storage organ. That organ is then wired with search and the remaining components, and the complete anatomy is compiled into a candidate binary. The picture on the right is a conceptual translation of the profile, not additional XML syntax.</w:t>
      </w:r>
    </w:p>
    <w:p>
      <w:r>
        <w:t>This is not an interpreter selecting an entire index by name for every lookup. The XML controls which implementations are incorporated during construction. Permitted runtime parameters are supplied afterwards through the declared interfaces.</w:t>
      </w:r>
    </w:p>
    <w:p>
      <w:r>
        <w:t>A larger experiment can request alternative compatible choices. Each resulting configuration needs a complete composition and an identity. The next slide follows one such assembled candidate through planning, construction and measurement. The profile label by itself does not establish a completed original-paper benchmark.</w:t>
      </w:r>
    </w:p>
    <w:p>
      <w:pPr>
        <w:spacing w:after="180"/>
      </w:pPr>
      <w:r>
        <w:rPr>
          <w:i/>
          <w:color w:val="657487"/>
          <w:sz w:val="18"/>
        </w:rPr>
        <w:t>Presenter cue — Click 1: bind XML choices to the storage organ. Click 2: wire and compile the complete candidate.</w:t>
      </w:r>
    </w:p>
    <w:p>
      <w:r>
        <w:br w:type="page"/>
      </w:r>
    </w:p>
    <w:p>
      <w:pPr>
        <w:pStyle w:val="Heading1"/>
      </w:pPr>
      <w:r>
        <w:t>09  Build and measure the assembled algorithm</w:t>
      </w:r>
    </w:p>
    <w:p>
      <w:pPr>
        <w:keepNext/>
        <w:spacing w:after="120"/>
      </w:pPr>
      <w:r>
        <w:rPr>
          <w:b/>
          <w:color w:val="00878C"/>
          <w:sz w:val="18"/>
        </w:rPr>
        <w:t>08:35–10:10 | 95 seconds</w:t>
      </w:r>
    </w:p>
    <w:p>
      <w:r>
        <w:t>The experiment XML is validated and planned by the Planner. The CEB stage uses the component library, including declared plugin contributions, to construct the requested candidates. Notice the coloured storage pieces inside the Tier binary: this is exactly the body we assembled on the preceding slides.</w:t>
      </w:r>
    </w:p>
    <w:p>
      <w:r>
        <w:t>Compilation fixes the main composition. Runtime settings are then supplied through the permitted contracts. A Tier binary is one candidate algorithm, not the whole framework and not simply an axis name.</w:t>
      </w:r>
    </w:p>
    <w:p>
      <w:r>
        <w:t>The candidate must pass conformance checks before the workload is driven and observed. The result is attached to the candidate identity and the controlled settings. Build success is not measurement completion.</w:t>
      </w:r>
    </w:p>
    <w:p>
      <w:r>
        <w:t>Valid measurements then enter comparison and selection. The scientific question is which complete composition performs well under a stated workload, and how its component choices contribute to that outcome.</w:t>
      </w:r>
    </w:p>
    <w:p>
      <w:r>
        <w:t>Thus the build apparatus serves the experiment: specification becomes an assembled algorithm, the algorithm becomes a checked observation, and the observation supports a comparison. Publication automation remains in the backup rather than forming a second story in the main talk.</w:t>
      </w:r>
    </w:p>
    <w:p>
      <w:pPr>
        <w:spacing w:after="180"/>
      </w:pPr>
      <w:r>
        <w:rPr>
          <w:i/>
          <w:color w:val="657487"/>
          <w:sz w:val="18"/>
        </w:rPr>
        <w:t>Presenter cue — Click 1: conformance, workload drive and valid measurement. Click 2: compare/select the full composition.</w:t>
      </w:r>
    </w:p>
    <w:p>
      <w:pPr>
        <w:pStyle w:val="Heading1"/>
      </w:pPr>
      <w:r>
        <w:t>10  Measure the algorithm and its organs</w:t>
      </w:r>
    </w:p>
    <w:p>
      <w:pPr>
        <w:keepNext/>
        <w:spacing w:after="120"/>
      </w:pPr>
      <w:r>
        <w:rPr>
          <w:b/>
          <w:color w:val="00878C"/>
          <w:sz w:val="18"/>
        </w:rPr>
        <w:t>10:10–11:30 | 80 seconds</w:t>
      </w:r>
    </w:p>
    <w:p>
      <w:r>
        <w:t>The same assembled algorithm is observed at three granularities. The outer frame is the complete request sequence. Inside it is one interface operation, such as find cat. Inside that operation, search uses the composed storage organ, whose node, layout and allocator choices remain visible.</w:t>
      </w:r>
    </w:p>
    <w:p>
      <w:r>
        <w:t>This nesting is the reason to assemble components before comparing them. A cheap component does not necessarily produce the cheapest whole algorithm: it can change allocation frequency, byte layout, or the work of the search consumer. The interaction is part of the experiment.</w:t>
      </w:r>
    </w:p>
    <w:p>
      <w:r>
        <w:t>The test dock drives operations under a common contract and obtains the appropriate observations. Unsupported operations must not become zero-cost successes. Missing counters remain missing. Component measurements also must not be added as if they were non-overlapping workload times unless that relationship has actually been established.</w:t>
      </w:r>
    </w:p>
    <w:p>
      <w:r>
        <w:t>PRT-ART can contribute new compatible pieces to this same construction and measurement path. It does not get a separate favourable benchmark. We can now turn from how a candidate is built and observed to three concrete pilot comparisons.</w:t>
      </w:r>
    </w:p>
    <w:p>
      <w:r>
        <w:br w:type="page"/>
      </w:r>
    </w:p>
    <w:p>
      <w:pPr>
        <w:pStyle w:val="Heading1"/>
      </w:pPr>
      <w:r>
        <w:t>11  Evaluation: define the comparison first</w:t>
      </w:r>
    </w:p>
    <w:p>
      <w:pPr>
        <w:keepNext/>
        <w:spacing w:after="120"/>
      </w:pPr>
      <w:r>
        <w:rPr>
          <w:b/>
          <w:color w:val="00878C"/>
          <w:sz w:val="18"/>
        </w:rPr>
        <w:t>11:30–12:30 | 60 seconds</w:t>
      </w:r>
    </w:p>
    <w:p>
      <w:r>
        <w:t>The next three slides use the available historical pilot, not a newly completed final run. The source CSV contains 320 candidate binaries and three repetitions. I exclude the two historical scan profiles that did not execute a valid scan.</w:t>
      </w:r>
    </w:p>
    <w:p>
      <w:r>
        <w:t>For each contrast, a candidate is matched to its baseline under identical remaining axis choices, runtime setting, workload and repetition. Each plotted marker is the median of those paired differences within one repetition. The repetitions are shown separately; they are not averaged into one apparent measurement.</w:t>
      </w:r>
    </w:p>
    <w:p>
      <w:r>
        <w:t>The plots report relative changes in time. They do not directly establish a causal change in cache-line utilization. The legacy data path and incomplete hardware-counter evidence remain limitations. The final rebuilt measurement campaign must replace these pilot plots before they can be presented as final validation. With that boundary explicit, the pilot illustrates the questions the apparatus is designed to answer.</w:t>
      </w:r>
    </w:p>
    <w:p>
      <w:pPr>
        <w:pStyle w:val="Heading1"/>
      </w:pPr>
      <w:r>
        <w:t>12  Experiment 1: node capacity</w:t>
      </w:r>
    </w:p>
    <w:p>
      <w:pPr>
        <w:keepNext/>
        <w:spacing w:after="120"/>
      </w:pPr>
      <w:r>
        <w:rPr>
          <w:b/>
          <w:color w:val="00878C"/>
          <w:sz w:val="18"/>
        </w:rPr>
        <w:t>12:30–14:20 | 110 seconds</w:t>
      </w:r>
    </w:p>
    <w:p>
      <w:r>
        <w:t>The first question is whether increasing node capacity always improves lookup performance. The comparison uses the YCSB-C-labelled workload and the lookup median. Node4 is the reference. All remaining settings are matched between each candidate and the baseline.</w:t>
      </w:r>
    </w:p>
    <w:p>
      <w:r>
        <w:t>Read the horizontal axis first. Zero means the same latency as the baseline. Negative values mean lower latency. Each of the three markers is one repetition's median across 480 matched contexts.</w:t>
      </w:r>
    </w:p>
    <w:p>
      <w:r>
        <w:t>In this pilot slice, Node16 lies approximately eight to ten percent below Node4. Node48 also lies below the baseline, by roughly three to four percent. Node256 lies approximately four percent above it. Therefore, larger capacity is not monotonically better in these data.</w:t>
      </w:r>
    </w:p>
    <w:p>
      <w:r>
        <w:t>The physical motivation is a trade-off: capacity can change the number of nodes or allocations, while a larger representation can change the working set and local search cost. The observed curve motivates investigating that trade-off; it does not isolate its hardware cause.</w:t>
      </w:r>
    </w:p>
    <w:p>
      <w:r>
        <w:t>This is not a benchmark of three complete ART implementations, and the names alone do not guarantee the original ART memory layouts. The final interpretation needs the rebuilt operative path and appropriate cache observations. What the present pilot supplies is a concrete, reproducible comparison question: where is the useful capacity range for this operation and workload?</w:t>
      </w:r>
    </w:p>
    <w:p>
      <w:r>
        <w:br w:type="page"/>
      </w:r>
    </w:p>
    <w:p>
      <w:pPr>
        <w:pStyle w:val="Heading1"/>
      </w:pPr>
      <w:r>
        <w:t>13  Experiment 2: workload changes the ranking</w:t>
      </w:r>
    </w:p>
    <w:p>
      <w:pPr>
        <w:keepNext/>
        <w:spacing w:after="120"/>
      </w:pPr>
      <w:r>
        <w:rPr>
          <w:b/>
          <w:color w:val="00878C"/>
          <w:sz w:val="18"/>
        </w:rPr>
        <w:t>14:20–16:10 | 110 seconds</w:t>
      </w:r>
    </w:p>
    <w:p>
      <w:r>
        <w:t>The second comparison asks whether a search method has the same advantage under different workloads. The reference is linear scan. I show two workload labels from the same pilot: YCSB-C and YCSB-A. The three candidate methods are Eytzinger, interpolation and k-ary search.</w:t>
      </w:r>
    </w:p>
    <w:p>
      <w:r>
        <w:t>Again, the horizontal axis is the percentage change in total nanoseconds per operation. Each point is a separate repetition's matched median. Within each contrast, the remaining settings are held equal.</w:t>
      </w:r>
    </w:p>
    <w:p>
      <w:r>
        <w:t>For the read-oriented YCSB-C label, all three candidates are below the linear-scan baseline. In the mixed YCSB-A label, all three are above it. The magnitudes differ, but the important result is the reversal relative to the reference.</w:t>
      </w:r>
    </w:p>
    <w:p>
      <w:r>
        <w:t>This is why the workload must be part of the experimental specification. A method that improves lookup can have additional representation or maintenance costs under updates. A single overall algorithm ranking would hide that interaction.</w:t>
      </w:r>
    </w:p>
    <w:p>
      <w:r>
        <w:t>These timings include more than cache behaviour. Search work, branching, updates and instrumentation can contribute. Therefore the plot supports workload-specific comparison and selection, not a claim that one method universally has better cache utilization. The final campaign should retain the same comparison structure while validating the rebuilt implementations and the exact request sequence.</w:t>
      </w:r>
    </w:p>
    <w:p>
      <w:pPr>
        <w:pStyle w:val="Heading1"/>
      </w:pPr>
      <w:r>
        <w:t>14  Experiment 3: alignment has a cost</w:t>
      </w:r>
    </w:p>
    <w:p>
      <w:pPr>
        <w:keepNext/>
        <w:spacing w:after="120"/>
      </w:pPr>
      <w:r>
        <w:rPr>
          <w:b/>
          <w:color w:val="00878C"/>
          <w:sz w:val="18"/>
        </w:rPr>
        <w:t>16:10–18:00 | 110 seconds</w:t>
      </w:r>
    </w:p>
    <w:p>
      <w:r>
        <w:t>The third question returns directly to the cache-line motivation. Is an explicitly cache-line-aligned layout automatically the better choice? The reference is the compact AoSStrict layout. I show the aligned layout and PackedBitmap under the two workload labels.</w:t>
      </w:r>
    </w:p>
    <w:p>
      <w:r>
        <w:t>For the YCSB-C label, the aligned layout is close to the reference. For YCSB-A, its paired time is approximately twenty-one to twenty-four percent higher. PackedBitmap lies modestly below the baseline in these two slices.</w:t>
      </w:r>
    </w:p>
    <w:p>
      <w:r>
        <w:t>The result is not that alignment is generally harmful. Alignment, field placement and padding are different mechanisms. A representation can align entries while increasing their footprint or the amount of work needed during updates. Conversely, a compact representation can reduce memory traffic without guaranteeing the fastest local computation.</w:t>
      </w:r>
    </w:p>
    <w:p>
      <w:r>
        <w:t>The pilot reports a larger live footprint for the widened layouts, but its cache-line-count field is not suitable for deriving utilization across layouts. I therefore do not display a cache-line-utilization percentage or claim that the timing difference was caused by a measured cache miss reduction.</w:t>
      </w:r>
    </w:p>
    <w:p>
      <w:r>
        <w:t>The scientific conclusion is narrower and more useful: representation choices have to be evaluated together with their workload and storage costs. The apparatus makes that question explicit. Final counter-backed measurements are the remaining step from a timing observation to a stronger cache-specific explanation.</w:t>
      </w:r>
    </w:p>
    <w:p>
      <w:r>
        <w:br w:type="page"/>
      </w:r>
    </w:p>
    <w:p>
      <w:pPr>
        <w:pStyle w:val="Heading1"/>
      </w:pPr>
      <w:r>
        <w:t>15  Conclusion: test cache-aware design choices</w:t>
      </w:r>
    </w:p>
    <w:p>
      <w:pPr>
        <w:keepNext/>
        <w:spacing w:after="120"/>
      </w:pPr>
      <w:r>
        <w:rPr>
          <w:b/>
          <w:color w:val="00878C"/>
          <w:sz w:val="18"/>
        </w:rPr>
        <w:t>18:00–19:00 | 60 seconds</w:t>
      </w:r>
    </w:p>
    <w:p>
      <w:r>
        <w:t>The thesis turns a practical question about index performance into a structured experiment. Its concept is constructive: choose implementations along design axes, compose working organs, and wire those organs into a complete algorithm. The apparatus then compiles and compares those candidates under common contracts.</w:t>
      </w:r>
    </w:p>
    <w:p>
      <w:r>
        <w:t>The three pilot comparisons illustrate why the result must stay attached to its context: node capacity is not monotonically beneficial, search-method effects change with the workload, and alignment is not a substitute for measuring representation cost.</w:t>
      </w:r>
    </w:p>
    <w:p>
      <w:r>
        <w:t>The evidence boundary remains explicit. These are historical exploratory results, not the final rebuilt hardware validation. Implementing the apparatus and demonstrating a performance advantage are separate obligations.</w:t>
      </w:r>
    </w:p>
    <w:p>
      <w:r>
        <w:t>The takeaway is a white-box approach to autotuning: make the pieces visible, assemble them into real algorithms, compare controlled compositions, and select what the measurements support. Thank you. I welcome your questions.</w:t>
      </w:r>
    </w:p>
    <w:p>
      <w:r>
        <w:br w:type="page"/>
      </w:r>
    </w:p>
    <w:p>
      <w:pPr>
        <w:pStyle w:val="Heading1"/>
      </w:pPr>
      <w:r>
        <w:t>Source review and revision boundary</w:t>
      </w:r>
    </w:p>
    <w:p>
      <w:r>
        <w:t>This appendix is not part of the spoken presentation.</w:t>
      </w:r>
    </w:p>
    <w:p>
      <w:r>
        <w:t xml:space="preserve">Pinned source: </w:t>
      </w:r>
      <w:hyperlink r:id="rId11">
        <w:r>
          <w:rPr>
            <w:color w:val="3468AA"/>
          </w:rPr>
          <w:t>development @56a8fe08042c30f8ac5a7cad104c18b1a9202d56</w:t>
        </w:r>
      </w:hyperlink>
    </w:p>
    <w:p>
      <w:r>
        <w:t>Reading scope: all six active German main-chapter files and all six German appendix text files A–F were read through the GitHub connector, using bounded ranges and overlapping reads where a response was truncated. The active six-chapter include graph was used; the superseded eight-chapter files were not treated as current. The English translation was not independently re-reviewed in full. This is not a fresh verification of every cited primary paper or a remeasurement of the generated numerical tables.</w:t>
      </w:r>
    </w:p>
    <w:p>
      <w:pPr>
        <w:spacing w:after="40"/>
      </w:pPr>
      <w:hyperlink r:id="rId12">
        <w:r>
          <w:rPr>
            <w:color w:val="3468AA"/>
          </w:rPr>
          <w:t>kapitel/de/01_einleitung.tex</w:t>
        </w:r>
      </w:hyperlink>
    </w:p>
    <w:p>
      <w:pPr>
        <w:spacing w:after="40"/>
      </w:pPr>
      <w:hyperlink r:id="rId13">
        <w:r>
          <w:rPr>
            <w:color w:val="3468AA"/>
          </w:rPr>
          <w:t>kapitel/de/02_suchbaeume_grundlagen.tex</w:t>
        </w:r>
      </w:hyperlink>
    </w:p>
    <w:p>
      <w:pPr>
        <w:spacing w:after="40"/>
      </w:pPr>
      <w:hyperlink r:id="rId14">
        <w:r>
          <w:rPr>
            <w:color w:val="3468AA"/>
          </w:rPr>
          <w:t>kapitel/de/03_messsystem_prtart.tex</w:t>
        </w:r>
      </w:hyperlink>
    </w:p>
    <w:p>
      <w:pPr>
        <w:spacing w:after="40"/>
      </w:pPr>
      <w:hyperlink r:id="rId15">
        <w:r>
          <w:rPr>
            <w:color w:val="3468AA"/>
          </w:rPr>
          <w:t>kapitel/de/04_implementierung.tex</w:t>
        </w:r>
      </w:hyperlink>
    </w:p>
    <w:p>
      <w:pPr>
        <w:spacing w:after="40"/>
      </w:pPr>
      <w:hyperlink r:id="rId16">
        <w:r>
          <w:rPr>
            <w:color w:val="3468AA"/>
          </w:rPr>
          <w:t>kapitel/de/05_evaluation.tex</w:t>
        </w:r>
      </w:hyperlink>
    </w:p>
    <w:p>
      <w:pPr>
        <w:spacing w:after="40"/>
      </w:pPr>
      <w:hyperlink r:id="rId17">
        <w:r>
          <w:rPr>
            <w:color w:val="3468AA"/>
          </w:rPr>
          <w:t>kapitel/de/06_fazit.tex</w:t>
        </w:r>
      </w:hyperlink>
    </w:p>
    <w:p>
      <w:pPr>
        <w:spacing w:after="40"/>
      </w:pPr>
      <w:hyperlink r:id="rId18">
        <w:r>
          <w:rPr>
            <w:color w:val="3468AA"/>
          </w:rPr>
          <w:t>anhang/de/A_measurements.tex</w:t>
        </w:r>
      </w:hyperlink>
    </w:p>
    <w:p>
      <w:pPr>
        <w:spacing w:after="40"/>
      </w:pPr>
      <w:hyperlink r:id="rId19">
        <w:r>
          <w:rPr>
            <w:color w:val="3468AA"/>
          </w:rPr>
          <w:t>anhang/de/B_code_structure.tex</w:t>
        </w:r>
      </w:hyperlink>
    </w:p>
    <w:p>
      <w:pPr>
        <w:spacing w:after="40"/>
      </w:pPr>
      <w:hyperlink r:id="rId20">
        <w:r>
          <w:rPr>
            <w:color w:val="3468AA"/>
          </w:rPr>
          <w:t>anhang/de/C_glossary.tex</w:t>
        </w:r>
      </w:hyperlink>
    </w:p>
    <w:p>
      <w:pPr>
        <w:spacing w:after="40"/>
      </w:pPr>
      <w:hyperlink r:id="rId21">
        <w:r>
          <w:rPr>
            <w:color w:val="3468AA"/>
          </w:rPr>
          <w:t>anhang/de/D_building_block_matrix.tex</w:t>
        </w:r>
      </w:hyperlink>
    </w:p>
    <w:p>
      <w:pPr>
        <w:spacing w:after="40"/>
      </w:pPr>
      <w:hyperlink r:id="rId22">
        <w:r>
          <w:rPr>
            <w:color w:val="3468AA"/>
          </w:rPr>
          <w:t>anhang/de/E_architecture_decisions.tex</w:t>
        </w:r>
      </w:hyperlink>
    </w:p>
    <w:p>
      <w:pPr>
        <w:spacing w:after="40"/>
      </w:pPr>
      <w:hyperlink r:id="rId23">
        <w:r>
          <w:rPr>
            <w:color w:val="3468AA"/>
          </w:rPr>
          <w:t>anhang/de/F_comparison_interfaces.tex</w:t>
        </w:r>
      </w:hyperlink>
    </w:p>
    <w:p>
      <w:pPr>
        <w:pStyle w:val="Heading2"/>
      </w:pPr>
      <w:r>
        <w:t>Decisive source statements</w:t>
      </w:r>
    </w:p>
    <w:p>
      <w:r>
        <w:t>Chapter 3, §3.3.1 (figures “axis-organ” and “usage”): the storage organ composes node type, layout and allocator and exports StorageOrgan. Search must consume it. Anatomy means wiring as well as composition. Prefetch and telemetry edges are optional hooks; the concurrency-to-store edge is explicitly not yet wired in that figure.</w:t>
      </w:r>
    </w:p>
    <w:p>
      <w:r>
        <w:t>Appendix D, T4: the concrete store descriptions distinguish NodeTypeSlotStore, ComposedStore, NodeChunkedStore and LayoutAwareChunkedStore. Appendix C and the catalogue also use “organ” for an elementary axis slot. The revised slides keep this distinction visible instead of creating a universal extra layer or an additional nineteenth slot.</w:t>
      </w:r>
    </w:p>
    <w:p>
      <w:pPr>
        <w:pStyle w:val="Heading2"/>
      </w:pPr>
      <w:r>
        <w:t>Changed material</w:t>
      </w:r>
    </w:p>
    <w:p>
      <w:r>
        <w:t>Slides 5 and 6 now show construction and wiring. Slide 8 binds the same three pieces to a readable extract of the actual ART profile. Slides 9 and 10 reuse the assembled storage organ inside the candidate and the observation hierarchy. Slide 2 now points to the highlighted “cat” record. Slide 15 names composition explicitly. Backup B8 documents the two abstraction levels. The main route remains 15 slides / 1,140 seconds; the original result slides 11–14 are structurally unchanged.</w:t>
      </w:r>
    </w:p>
    <w:p>
      <w:r>
        <w:t>The selected values Node4 / cache-line-aligned layout / mimalloc are used as a framework composition example. The profile label is not evidence that this is an unmodified original ART implementation or a new performance result. Native click-entrance groups are present in the PowerPoint; the PDF shows the fully revealed end states.</w:t>
      </w:r>
    </w:p>
    <w:sectPr w:rsidR="00FC693F" w:rsidRPr="0006063C" w:rsidSect="00034616">
      <w:headerReference w:type="default" r:id="rId9"/>
      <w:footerReference w:type="default" r:id="rId10"/>
      <w:pgSz w:w="11909" w:h="16834"/>
      <w:pgMar w:top="950" w:right="1094" w:bottom="950"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Benjamin-Elias Probst  •  Composition revision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57487"/>
        <w:sz w:val="16"/>
      </w:rPr>
      <w:t>DIPLOMA THESIS DEFENSE  |  AXES → ORGANS → ALGORITHM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w:hAnsi="Noto Sans"/>
      <w:color w:val="2336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bCs/>
      <w:color w:val="041447"/>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w:hAnsi="Noto Sans"/>
      <w:b/>
      <w:bCs/>
      <w:color w:val="04144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Noto Sans" w:hAnsi="Noto Sans"/>
      <w:color w:val="0414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Noto Sans" w:hAnsi="Noto Sans"/>
      <w:color w:val="23364B"/>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enniProbst/20260931-Overleaf-Diplomarbeit/blob/56a8fe08042c30f8ac5a7cad104c18b1a9202d56/" TargetMode="External"/><Relationship Id="rId12" Type="http://schemas.openxmlformats.org/officeDocument/2006/relationships/hyperlink" Target="https://github.com/BenniProbst/20260931-Overleaf-Diplomarbeit/blob/56a8fe08042c30f8ac5a7cad104c18b1a9202d56/kapitel/de/01_einleitung.tex" TargetMode="External"/><Relationship Id="rId13" Type="http://schemas.openxmlformats.org/officeDocument/2006/relationships/hyperlink" Target="https://github.com/BenniProbst/20260931-Overleaf-Diplomarbeit/blob/56a8fe08042c30f8ac5a7cad104c18b1a9202d56/kapitel/de/02_suchbaeume_grundlagen.tex" TargetMode="External"/><Relationship Id="rId14" Type="http://schemas.openxmlformats.org/officeDocument/2006/relationships/hyperlink" Target="https://github.com/BenniProbst/20260931-Overleaf-Diplomarbeit/blob/56a8fe08042c30f8ac5a7cad104c18b1a9202d56/kapitel/de/03_messsystem_prtart.tex" TargetMode="External"/><Relationship Id="rId15" Type="http://schemas.openxmlformats.org/officeDocument/2006/relationships/hyperlink" Target="https://github.com/BenniProbst/20260931-Overleaf-Diplomarbeit/blob/56a8fe08042c30f8ac5a7cad104c18b1a9202d56/kapitel/de/04_implementierung.tex" TargetMode="External"/><Relationship Id="rId16" Type="http://schemas.openxmlformats.org/officeDocument/2006/relationships/hyperlink" Target="https://github.com/BenniProbst/20260931-Overleaf-Diplomarbeit/blob/56a8fe08042c30f8ac5a7cad104c18b1a9202d56/kapitel/de/05_evaluation.tex" TargetMode="External"/><Relationship Id="rId17" Type="http://schemas.openxmlformats.org/officeDocument/2006/relationships/hyperlink" Target="https://github.com/BenniProbst/20260931-Overleaf-Diplomarbeit/blob/56a8fe08042c30f8ac5a7cad104c18b1a9202d56/kapitel/de/06_fazit.tex" TargetMode="External"/><Relationship Id="rId18" Type="http://schemas.openxmlformats.org/officeDocument/2006/relationships/hyperlink" Target="https://github.com/BenniProbst/20260931-Overleaf-Diplomarbeit/blob/56a8fe08042c30f8ac5a7cad104c18b1a9202d56/anhang/de/A_measurements.tex" TargetMode="External"/><Relationship Id="rId19" Type="http://schemas.openxmlformats.org/officeDocument/2006/relationships/hyperlink" Target="https://github.com/BenniProbst/20260931-Overleaf-Diplomarbeit/blob/56a8fe08042c30f8ac5a7cad104c18b1a9202d56/anhang/de/B_code_structure.tex" TargetMode="External"/><Relationship Id="rId20" Type="http://schemas.openxmlformats.org/officeDocument/2006/relationships/hyperlink" Target="https://github.com/BenniProbst/20260931-Overleaf-Diplomarbeit/blob/56a8fe08042c30f8ac5a7cad104c18b1a9202d56/anhang/de/C_glossary.tex" TargetMode="External"/><Relationship Id="rId21" Type="http://schemas.openxmlformats.org/officeDocument/2006/relationships/hyperlink" Target="https://github.com/BenniProbst/20260931-Overleaf-Diplomarbeit/blob/56a8fe08042c30f8ac5a7cad104c18b1a9202d56/anhang/de/D_building_block_matrix.tex" TargetMode="External"/><Relationship Id="rId22" Type="http://schemas.openxmlformats.org/officeDocument/2006/relationships/hyperlink" Target="https://github.com/BenniProbst/20260931-Overleaf-Diplomarbeit/blob/56a8fe08042c30f8ac5a7cad104c18b1a9202d56/anhang/de/E_architecture_decisions.tex" TargetMode="External"/><Relationship Id="rId23" Type="http://schemas.openxmlformats.org/officeDocument/2006/relationships/hyperlink" Target="https://github.com/BenniProbst/20260931-Overleaf-Diplomarbeit/blob/56a8fe08042c30f8ac5a7cad104c18b1a9202d56/anhang/de/F_comparison_interfaces.t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 Engine Defense — Speaker Guide, Composition Revision</dc:title>
  <dc:subject/>
  <dc:creator>Benjamin-Elias Probst</dc:creator>
  <cp:keywords/>
  <dc:description>generated by python-docx</dc:description>
  <cp:lastModifiedBy/>
  <cp:revision>1</cp:revision>
  <dcterms:created xsi:type="dcterms:W3CDTF">2013-12-23T23:15:00Z</dcterms:created>
  <dcterms:modified xsi:type="dcterms:W3CDTF">2013-12-23T23:15:00Z</dcterms:modified>
  <cp:category/>
</cp:coreProperties>
</file>