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6808" w14:textId="77777777" w:rsidR="008131A0" w:rsidRPr="00CE5E88" w:rsidRDefault="00D22FD3">
      <w:pPr>
        <w:pStyle w:val="TitleCustom"/>
        <w:rPr>
          <w:lang w:val="de-DE"/>
        </w:rPr>
      </w:pPr>
      <w:r w:rsidRPr="00CE5E88">
        <w:rPr>
          <w:lang w:val="de-DE"/>
        </w:rPr>
        <w:t>Technische Skizze: PRT-ART (</w:t>
      </w:r>
      <w:proofErr w:type="spellStart"/>
      <w:r w:rsidRPr="00CE5E88">
        <w:rPr>
          <w:lang w:val="de-DE"/>
        </w:rPr>
        <w:t>Comdare</w:t>
      </w:r>
      <w:proofErr w:type="spellEnd"/>
      <w:r w:rsidRPr="00CE5E88">
        <w:rPr>
          <w:lang w:val="de-DE"/>
        </w:rPr>
        <w:t xml:space="preserve"> </w:t>
      </w:r>
      <w:proofErr w:type="spellStart"/>
      <w:r w:rsidRPr="00CE5E88">
        <w:rPr>
          <w:lang w:val="de-DE"/>
        </w:rPr>
        <w:t>Predix</w:t>
      </w:r>
      <w:proofErr w:type="spellEnd"/>
      <w:r w:rsidRPr="00CE5E88">
        <w:rPr>
          <w:lang w:val="de-DE"/>
        </w:rPr>
        <w:t>-Trie-ART)</w:t>
      </w:r>
    </w:p>
    <w:p w14:paraId="44B9F5CA" w14:textId="77777777" w:rsidR="008131A0" w:rsidRPr="00CE5E88" w:rsidRDefault="00D22FD3">
      <w:pPr>
        <w:pStyle w:val="SubtitleCustom"/>
        <w:rPr>
          <w:lang w:val="de-DE"/>
        </w:rPr>
      </w:pPr>
      <w:r w:rsidRPr="00CE5E88">
        <w:rPr>
          <w:lang w:val="de-DE"/>
        </w:rPr>
        <w:t>CPU-orientierte adaptive Präfixindexstruktur für Byte-Keys mit Redirect-Kompression, getrennten Speicherpools und layoutbewusster Seitendarstellung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8131A0" w:rsidRPr="00CE5E88" w14:paraId="6A9B039E" w14:textId="77777777">
        <w:trPr>
          <w:jc w:val="center"/>
        </w:trPr>
        <w:tc>
          <w:tcPr>
            <w:tcW w:w="9354" w:type="dxa"/>
            <w:shd w:val="clear" w:color="auto" w:fill="EEF3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71C07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b/>
                <w:lang w:val="de-DE"/>
              </w:rPr>
              <w:t xml:space="preserve">Kurzfassung. </w:t>
            </w:r>
            <w:r w:rsidRPr="00CE5E88">
              <w:rPr>
                <w:lang w:val="de-DE"/>
              </w:rPr>
              <w:t>PRT-ART behandelt jeden Schlüssel als Bytefolge und kombiniert drei Bausteine: Redirect-Knoten für eindeutige Restpfade, adaptive Suchseiten an echten Verzweigungen und eine separate Value-Arena für Nutzdaten. Der Suchpfad bleibt klein und lokal; die eigentlichen Werte werden append-orientiert verwaltet und bei Bedarf asynchron konsolidiert.</w:t>
            </w:r>
          </w:p>
        </w:tc>
      </w:tr>
    </w:tbl>
    <w:p w14:paraId="57E6C4C0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1. Zielbild und Abgrenzung</w:t>
      </w:r>
    </w:p>
    <w:p w14:paraId="4B16D95C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PRT-ART ist kein weiterer generischer Trie unter neuem Namen. </w:t>
      </w:r>
      <w:r w:rsidRPr="00CE5E88">
        <w:rPr>
          <w:lang w:val="de-DE"/>
        </w:rPr>
        <w:t xml:space="preserve">Die zentrale Idee ist eine </w:t>
      </w:r>
      <w:r w:rsidRPr="00CE5E88">
        <w:rPr>
          <w:b/>
          <w:lang w:val="de-DE"/>
        </w:rPr>
        <w:t>CPU-</w:t>
      </w:r>
      <w:proofErr w:type="spellStart"/>
      <w:r w:rsidRPr="00CE5E88">
        <w:rPr>
          <w:b/>
          <w:lang w:val="de-DE"/>
        </w:rPr>
        <w:t>only</w:t>
      </w:r>
      <w:proofErr w:type="spellEnd"/>
      <w:r w:rsidRPr="00CE5E88">
        <w:rPr>
          <w:b/>
          <w:lang w:val="de-DE"/>
        </w:rPr>
        <w:t xml:space="preserve"> Präfixstruktur mit kontrolliertem Speicherlayout</w:t>
      </w:r>
      <w:r w:rsidRPr="00CE5E88">
        <w:rPr>
          <w:lang w:val="de-DE"/>
        </w:rPr>
        <w:t>, in der die Traversierungslogik bewusst von den eigentlichen Values getrennt wird. Im Gegensatz zu klassischen ART-Implementierungen liegt die Adaptivität nicht primär in den Knotentypen 4/16/48/256, sondern in der Wahl der lokalen Seitendarstellung, der Pfadkompression über Redirect-Knoten und der Aufteilung auf typspezifische Speicherpools.</w:t>
      </w:r>
    </w:p>
    <w:p w14:paraId="469D6F92" w14:textId="77777777" w:rsidR="008131A0" w:rsidRDefault="00D22FD3">
      <w:pPr>
        <w:pStyle w:val="HeadingBlue"/>
      </w:pPr>
      <w:r>
        <w:t>2. Strukturkomponenten</w:t>
      </w:r>
    </w:p>
    <w:tbl>
      <w:tblPr>
        <w:tblW w:w="10306" w:type="dxa"/>
        <w:jc w:val="center"/>
        <w:tblLayout w:type="fixed"/>
        <w:tblLook w:val="04A0" w:firstRow="1" w:lastRow="0" w:firstColumn="1" w:lastColumn="0" w:noHBand="0" w:noVBand="1"/>
      </w:tblPr>
      <w:tblGrid>
        <w:gridCol w:w="3503"/>
        <w:gridCol w:w="6803"/>
      </w:tblGrid>
      <w:tr w:rsidR="008131A0" w14:paraId="01D99564" w14:textId="77777777" w:rsidTr="00CE5E88">
        <w:trPr>
          <w:jc w:val="center"/>
        </w:trPr>
        <w:tc>
          <w:tcPr>
            <w:tcW w:w="3503" w:type="dxa"/>
            <w:shd w:val="clear" w:color="auto" w:fill="D9E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E0304" w14:textId="77777777" w:rsidR="008131A0" w:rsidRDefault="00D22FD3">
            <w:proofErr w:type="spellStart"/>
            <w:r>
              <w:rPr>
                <w:b/>
              </w:rPr>
              <w:t>Komponente</w:t>
            </w:r>
            <w:proofErr w:type="spellEnd"/>
          </w:p>
        </w:tc>
        <w:tc>
          <w:tcPr>
            <w:tcW w:w="6803" w:type="dxa"/>
            <w:shd w:val="clear" w:color="auto" w:fill="D9E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6752A" w14:textId="77777777" w:rsidR="008131A0" w:rsidRDefault="00D22FD3">
            <w:r>
              <w:rPr>
                <w:b/>
              </w:rPr>
              <w:t>Rolle im Index</w:t>
            </w:r>
          </w:p>
        </w:tc>
      </w:tr>
      <w:tr w:rsidR="008131A0" w:rsidRPr="00CE5E88" w14:paraId="1C523BE1" w14:textId="77777777" w:rsidTr="00CE5E88">
        <w:trPr>
          <w:jc w:val="center"/>
        </w:trPr>
        <w:tc>
          <w:tcPr>
            <w:tcW w:w="35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4DB99" w14:textId="77777777" w:rsidR="008131A0" w:rsidRDefault="00D22FD3">
            <w:r>
              <w:t>Redirect-Knoten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92DE3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lang w:val="de-DE"/>
              </w:rPr>
              <w:t>Speichert einen eindeutigen Restsuffix direkt im Knoten. Vermeidet unnötige Zwischenebenen und kann selbst terminal sein, also direkt eine Value-Referenz tragen.</w:t>
            </w:r>
          </w:p>
        </w:tc>
      </w:tr>
      <w:tr w:rsidR="008131A0" w:rsidRPr="00CE5E88" w14:paraId="25765C7F" w14:textId="77777777" w:rsidTr="00CE5E88">
        <w:trPr>
          <w:jc w:val="center"/>
        </w:trPr>
        <w:tc>
          <w:tcPr>
            <w:tcW w:w="35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FD51F" w14:textId="77777777" w:rsidR="008131A0" w:rsidRDefault="00D22FD3">
            <w:proofErr w:type="spellStart"/>
            <w:r>
              <w:t>Suchseite</w:t>
            </w:r>
            <w:proofErr w:type="spellEnd"/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FCA72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lang w:val="de-DE"/>
              </w:rPr>
              <w:t>Materialisiert nur echte Verzweigungspunkte. Jeder Knoten enthält optional eine terminale Value-Referenz; dadurch sind Fälle wie „ab“ und „</w:t>
            </w:r>
            <w:proofErr w:type="spellStart"/>
            <w:r w:rsidRPr="00CE5E88">
              <w:rPr>
                <w:lang w:val="de-DE"/>
              </w:rPr>
              <w:t>abc</w:t>
            </w:r>
            <w:proofErr w:type="spellEnd"/>
            <w:r w:rsidRPr="00CE5E88">
              <w:rPr>
                <w:lang w:val="de-DE"/>
              </w:rPr>
              <w:t>“ sauber darstellbar.</w:t>
            </w:r>
          </w:p>
        </w:tc>
      </w:tr>
      <w:tr w:rsidR="008131A0" w:rsidRPr="00CE5E88" w14:paraId="74419848" w14:textId="77777777" w:rsidTr="00CE5E88">
        <w:trPr>
          <w:jc w:val="center"/>
        </w:trPr>
        <w:tc>
          <w:tcPr>
            <w:tcW w:w="35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728E3" w14:textId="77777777" w:rsidR="008131A0" w:rsidRDefault="00D22FD3">
            <w:r>
              <w:t>Value-Arena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86183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lang w:val="de-DE"/>
              </w:rPr>
              <w:t xml:space="preserve">Separater Speicherbereich für serialisierte Nutzdaten. Updates schreiben append-orientiert; alte Werte werden </w:t>
            </w:r>
            <w:proofErr w:type="spellStart"/>
            <w:r w:rsidRPr="00CE5E88">
              <w:rPr>
                <w:lang w:val="de-DE"/>
              </w:rPr>
              <w:t>tombstone</w:t>
            </w:r>
            <w:proofErr w:type="spellEnd"/>
            <w:r w:rsidRPr="00CE5E88">
              <w:rPr>
                <w:lang w:val="de-DE"/>
              </w:rPr>
              <w:t>-artig markiert und später asynchron konsolidiert.</w:t>
            </w:r>
          </w:p>
        </w:tc>
      </w:tr>
      <w:tr w:rsidR="008131A0" w:rsidRPr="00CE5E88" w14:paraId="17563EA3" w14:textId="77777777" w:rsidTr="00CE5E88">
        <w:trPr>
          <w:jc w:val="center"/>
        </w:trPr>
        <w:tc>
          <w:tcPr>
            <w:tcW w:w="35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BFD1E" w14:textId="77777777" w:rsidR="008131A0" w:rsidRDefault="00D22FD3">
            <w:r>
              <w:t>Node-Pools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A1E39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lang w:val="de-DE"/>
              </w:rPr>
              <w:t xml:space="preserve">Getrennte Pools pro Seitentyp </w:t>
            </w:r>
            <w:proofErr w:type="gramStart"/>
            <w:r w:rsidRPr="00CE5E88">
              <w:rPr>
                <w:lang w:val="de-DE"/>
              </w:rPr>
              <w:t>plus eigener Pool</w:t>
            </w:r>
            <w:proofErr w:type="gramEnd"/>
            <w:r w:rsidRPr="00CE5E88">
              <w:rPr>
                <w:lang w:val="de-DE"/>
              </w:rPr>
              <w:t xml:space="preserve"> für Redirect-Knoten. Das Layout bleibt dadurch stabiler und gezielter an Seiten- und Cachegrenzen ausrichtbar.</w:t>
            </w:r>
          </w:p>
        </w:tc>
      </w:tr>
    </w:tbl>
    <w:p w14:paraId="62ADA318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3. Adaptive Suchseiten</w:t>
      </w:r>
    </w:p>
    <w:p w14:paraId="3A56AC2E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Vorgesehen sind vier lokale Seitendarstellungen: </w:t>
      </w:r>
      <w:r w:rsidRPr="00CE5E88">
        <w:rPr>
          <w:lang w:val="de-DE"/>
        </w:rPr>
        <w:t xml:space="preserve">8-Bit-Punktseite, 16-Bit-Punktseite, 8-Bit-Kompaktseite und 16-Bit-Kompaktseite. Punktseiten erlauben direkte Slot-Adressierung; Kompaktseiten speichern nur vorhandene Übergänge und durchsuchen eine </w:t>
      </w:r>
      <w:proofErr w:type="spellStart"/>
      <w:r w:rsidRPr="00CE5E88">
        <w:rPr>
          <w:lang w:val="de-DE"/>
        </w:rPr>
        <w:t>Tupelstruktur</w:t>
      </w:r>
      <w:proofErr w:type="spellEnd"/>
      <w:r w:rsidRPr="00CE5E88">
        <w:rPr>
          <w:lang w:val="de-DE"/>
        </w:rPr>
        <w:t>. Welche Darstellung an einem Verzweigungspunkt am günstigsten ist, ist selbst Teil der wissenschaftlichen Fragestellung. Die Umschaltlogik wird daher nicht dogmatisch fest verdrahtet, sondern experimentell bestimmt.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8131A0" w:rsidRPr="00CE5E88" w14:paraId="7F5FBB52" w14:textId="77777777">
        <w:trPr>
          <w:jc w:val="center"/>
        </w:trPr>
        <w:tc>
          <w:tcPr>
            <w:tcW w:w="9354" w:type="dxa"/>
            <w:shd w:val="clear" w:color="auto" w:fill="F7F7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184019" w14:textId="77777777" w:rsidR="008131A0" w:rsidRPr="00CE5E88" w:rsidRDefault="00D22FD3">
            <w:pPr>
              <w:pStyle w:val="SmallBox"/>
              <w:rPr>
                <w:rFonts w:hint="eastAsia"/>
                <w:lang w:val="de-DE"/>
              </w:rPr>
            </w:pPr>
            <w:r w:rsidRPr="00CE5E88">
              <w:rPr>
                <w:b/>
                <w:lang w:val="de-DE"/>
              </w:rPr>
              <w:t xml:space="preserve">Beispiel: hallo / </w:t>
            </w:r>
            <w:proofErr w:type="spellStart"/>
            <w:r w:rsidRPr="00CE5E88">
              <w:rPr>
                <w:b/>
                <w:lang w:val="de-DE"/>
              </w:rPr>
              <w:t>halter</w:t>
            </w:r>
            <w:proofErr w:type="spellEnd"/>
            <w:r w:rsidRPr="00CE5E88">
              <w:rPr>
                <w:b/>
                <w:lang w:val="de-DE"/>
              </w:rPr>
              <w:br/>
            </w:r>
            <w:r w:rsidRPr="00CE5E88">
              <w:rPr>
                <w:lang w:val="de-DE"/>
              </w:rPr>
              <w:t>Redirect("</w:t>
            </w:r>
            <w:proofErr w:type="spellStart"/>
            <w:r w:rsidRPr="00CE5E88">
              <w:rPr>
                <w:lang w:val="de-DE"/>
              </w:rPr>
              <w:t>hal</w:t>
            </w:r>
            <w:proofErr w:type="spellEnd"/>
            <w:proofErr w:type="gramStart"/>
            <w:r w:rsidRPr="00CE5E88">
              <w:rPr>
                <w:lang w:val="de-DE"/>
              </w:rPr>
              <w:t>")  -&gt;  Suchseite</w:t>
            </w:r>
            <w:proofErr w:type="gramEnd"/>
            <w:r w:rsidRPr="00CE5E88">
              <w:rPr>
                <w:lang w:val="de-DE"/>
              </w:rPr>
              <w:t xml:space="preserve"> mit Übergängen </w:t>
            </w:r>
            <w:proofErr w:type="gramStart"/>
            <w:r w:rsidRPr="00CE5E88">
              <w:rPr>
                <w:lang w:val="de-DE"/>
              </w:rPr>
              <w:t>{ l</w:t>
            </w:r>
            <w:proofErr w:type="gramEnd"/>
            <w:r w:rsidRPr="00CE5E88">
              <w:rPr>
                <w:lang w:val="de-DE"/>
              </w:rPr>
              <w:t xml:space="preserve"> -&gt; Redirect("</w:t>
            </w:r>
            <w:proofErr w:type="spellStart"/>
            <w:r w:rsidRPr="00CE5E88">
              <w:rPr>
                <w:lang w:val="de-DE"/>
              </w:rPr>
              <w:t>lo</w:t>
            </w:r>
            <w:proofErr w:type="spellEnd"/>
            <w:r w:rsidRPr="00CE5E88">
              <w:rPr>
                <w:lang w:val="de-DE"/>
              </w:rPr>
              <w:t>"</w:t>
            </w:r>
            <w:proofErr w:type="gramStart"/>
            <w:r w:rsidRPr="00CE5E88">
              <w:rPr>
                <w:lang w:val="de-DE"/>
              </w:rPr>
              <w:t>),  t</w:t>
            </w:r>
            <w:proofErr w:type="gramEnd"/>
            <w:r w:rsidRPr="00CE5E88">
              <w:rPr>
                <w:lang w:val="de-DE"/>
              </w:rPr>
              <w:t xml:space="preserve"> -&gt; Redirect("</w:t>
            </w:r>
            <w:proofErr w:type="spellStart"/>
            <w:r w:rsidRPr="00CE5E88">
              <w:rPr>
                <w:lang w:val="de-DE"/>
              </w:rPr>
              <w:t>ter</w:t>
            </w:r>
            <w:proofErr w:type="spellEnd"/>
            <w:r w:rsidRPr="00CE5E88">
              <w:rPr>
                <w:lang w:val="de-DE"/>
              </w:rPr>
              <w:t>"</w:t>
            </w:r>
            <w:proofErr w:type="gramStart"/>
            <w:r w:rsidRPr="00CE5E88">
              <w:rPr>
                <w:lang w:val="de-DE"/>
              </w:rPr>
              <w:t>) }</w:t>
            </w:r>
            <w:proofErr w:type="gramEnd"/>
            <w:r w:rsidRPr="00CE5E88">
              <w:rPr>
                <w:lang w:val="de-DE"/>
              </w:rPr>
              <w:br/>
              <w:t>Jeder der drei Knoten kann zusätzlich eine terminale Value-Referenz tragen.</w:t>
            </w:r>
          </w:p>
        </w:tc>
      </w:tr>
    </w:tbl>
    <w:p w14:paraId="16A23A7E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4. Operationen</w:t>
      </w:r>
    </w:p>
    <w:p w14:paraId="68AAB76E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Exact Lookup. </w:t>
      </w:r>
      <w:r w:rsidRPr="00CE5E88">
        <w:rPr>
          <w:lang w:val="de-DE"/>
        </w:rPr>
        <w:t xml:space="preserve">Der Schlüssel wird als Folge von </w:t>
      </w:r>
      <w:proofErr w:type="spellStart"/>
      <w:r w:rsidRPr="00CE5E88">
        <w:rPr>
          <w:lang w:val="de-DE"/>
        </w:rPr>
        <w:t>unsigned</w:t>
      </w:r>
      <w:proofErr w:type="spellEnd"/>
      <w:r w:rsidRPr="00CE5E88">
        <w:rPr>
          <w:lang w:val="de-DE"/>
        </w:rPr>
        <w:t xml:space="preserve"> Bytes gelesen. Redirect-Knoten vergleichen ihre Restsequenz direkt; Suchseiten bestimmen den nächsten lokalen Slot. Ein Treffer liegt vor, wenn nach vollständigem Konsum des Schlüssels eine terminale Value-Referenz erreicht wird.</w:t>
      </w:r>
    </w:p>
    <w:p w14:paraId="784BF7FC" w14:textId="77777777" w:rsidR="008131A0" w:rsidRPr="00CE5E88" w:rsidRDefault="00D22FD3">
      <w:pPr>
        <w:rPr>
          <w:lang w:val="de-DE"/>
        </w:rPr>
      </w:pPr>
      <w:proofErr w:type="spellStart"/>
      <w:r w:rsidRPr="00CE5E88">
        <w:rPr>
          <w:b/>
          <w:lang w:val="de-DE"/>
        </w:rPr>
        <w:lastRenderedPageBreak/>
        <w:t>Prefix</w:t>
      </w:r>
      <w:proofErr w:type="spellEnd"/>
      <w:r w:rsidRPr="00CE5E88">
        <w:rPr>
          <w:b/>
          <w:lang w:val="de-DE"/>
        </w:rPr>
        <w:t xml:space="preserve"> Lookup / Enumeration. </w:t>
      </w:r>
      <w:r w:rsidRPr="00CE5E88">
        <w:rPr>
          <w:lang w:val="de-DE"/>
        </w:rPr>
        <w:t>Nach Konsum eines Präfixes kann der Unterbaum unterhalb des erreichten Knotens traversiert werden. Die Ausgabe besteht aus Tupeln &lt;Key-Rest, Value&gt;. Eine lexikographische Ordnung ist nicht implizit garantiert; sie kann bei Bedarf explizit hergestellt werden.</w:t>
      </w:r>
    </w:p>
    <w:p w14:paraId="15757683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5. Einfügen, Überschreiben und Löschen</w:t>
      </w:r>
    </w:p>
    <w:p w14:paraId="56502BB9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Insert / Update. </w:t>
      </w:r>
      <w:r w:rsidRPr="00CE5E88">
        <w:rPr>
          <w:lang w:val="de-DE"/>
        </w:rPr>
        <w:t xml:space="preserve">Tritt eine Abweichung innerhalb eines Redirect-Knotens auf, wird an der ersten divergierenden Position gesplittet: </w:t>
      </w:r>
      <w:proofErr w:type="gramStart"/>
      <w:r w:rsidRPr="00CE5E88">
        <w:rPr>
          <w:lang w:val="de-DE"/>
        </w:rPr>
        <w:t>gemeinsamer Präfix</w:t>
      </w:r>
      <w:proofErr w:type="gramEnd"/>
      <w:r w:rsidRPr="00CE5E88">
        <w:rPr>
          <w:lang w:val="de-DE"/>
        </w:rPr>
        <w:t xml:space="preserve"> bleibt komprimiert, die Divergenz wird über eine neue Suchseite materialisiert, die beiden Restpfade werden darunter neu eingehängt. Beim Überschreiben wird der neue Value append-orientiert geschrieben und die alte Referenz </w:t>
      </w:r>
      <w:proofErr w:type="spellStart"/>
      <w:r w:rsidRPr="00CE5E88">
        <w:rPr>
          <w:lang w:val="de-DE"/>
        </w:rPr>
        <w:t>tombstoned</w:t>
      </w:r>
      <w:proofErr w:type="spellEnd"/>
      <w:r w:rsidRPr="00CE5E88">
        <w:rPr>
          <w:lang w:val="de-DE"/>
        </w:rPr>
        <w:t>.</w:t>
      </w:r>
    </w:p>
    <w:p w14:paraId="5CAA3185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Delete / </w:t>
      </w:r>
      <w:proofErr w:type="spellStart"/>
      <w:r w:rsidRPr="00CE5E88">
        <w:rPr>
          <w:b/>
          <w:lang w:val="de-DE"/>
        </w:rPr>
        <w:t>Rekompaktion</w:t>
      </w:r>
      <w:proofErr w:type="spellEnd"/>
      <w:r w:rsidRPr="00CE5E88">
        <w:rPr>
          <w:b/>
          <w:lang w:val="de-DE"/>
        </w:rPr>
        <w:t xml:space="preserve">. </w:t>
      </w:r>
      <w:proofErr w:type="spellStart"/>
      <w:r w:rsidRPr="00CE5E88">
        <w:rPr>
          <w:lang w:val="de-DE"/>
        </w:rPr>
        <w:t>Deletes</w:t>
      </w:r>
      <w:proofErr w:type="spellEnd"/>
      <w:r w:rsidRPr="00CE5E88">
        <w:rPr>
          <w:lang w:val="de-DE"/>
        </w:rPr>
        <w:t xml:space="preserve"> entfernen die terminale Value-Referenz. Entsteht dadurch wieder ein eindeutiger </w:t>
      </w:r>
      <w:proofErr w:type="spellStart"/>
      <w:r w:rsidRPr="00CE5E88">
        <w:rPr>
          <w:lang w:val="de-DE"/>
        </w:rPr>
        <w:t>Restpfad</w:t>
      </w:r>
      <w:proofErr w:type="spellEnd"/>
      <w:r w:rsidRPr="00CE5E88">
        <w:rPr>
          <w:lang w:val="de-DE"/>
        </w:rPr>
        <w:t>, kann lokal in einen Redirect-Knoten rekonstruiert werden. Value-Pools werden nicht sofort physisch bereinigt; Konsolidierung läuft getrennt und asynchron.</w:t>
      </w:r>
    </w:p>
    <w:p w14:paraId="083AA8F1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6. Speicher- und Referenzmodell</w:t>
      </w:r>
    </w:p>
    <w:p w14:paraId="4D6FCF10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Wichtige Präzisierung: </w:t>
      </w:r>
      <w:r w:rsidRPr="00CE5E88">
        <w:rPr>
          <w:lang w:val="de-DE"/>
        </w:rPr>
        <w:t>PRT-ART sollte nach außen nicht als global stabiler virtueller Adressraum beschrieben werden. Tragfähiger ist die Formulierung, dass jede Suchseite lokale Slots bzw. pool-relative Referenzen liefert und dass Konsolidierungen diese Referenzen kontrolliert neu abbilden können. Dadurch bleibt das Modell implementierbar, obwohl Value-Pools und Seitentyp-Pools sich im Zeitverlauf aufteilen oder zusammengeführt werden.</w:t>
      </w:r>
    </w:p>
    <w:p w14:paraId="5567646A" w14:textId="77777777" w:rsidR="008131A0" w:rsidRPr="00CE5E88" w:rsidRDefault="00D22FD3">
      <w:pPr>
        <w:pStyle w:val="HeadingBlue"/>
        <w:rPr>
          <w:lang w:val="de-DE"/>
        </w:rPr>
      </w:pPr>
      <w:r w:rsidRPr="00CE5E88">
        <w:rPr>
          <w:lang w:val="de-DE"/>
        </w:rPr>
        <w:t>7. Wissenschaftliche Hypothese und Evaluationsrahmen</w:t>
      </w:r>
    </w:p>
    <w:p w14:paraId="7A841AE9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Hypothese. </w:t>
      </w:r>
      <w:r w:rsidRPr="00CE5E88">
        <w:rPr>
          <w:lang w:val="de-DE"/>
        </w:rPr>
        <w:t>Die Kombination aus Redirect-Kompression, adaptiven Suchseiten, getrennten Pools und kleinen lokalen Suchpfaden kann auf moderner CPU-Hardware einen besseren Trade-off zwischen Lookup-Latenz, Durchsatz, Speicherbedarf und Update-Kosten erreichen als etablierte Baselines.</w:t>
      </w:r>
    </w:p>
    <w:p w14:paraId="390945C5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Vergleichsbasis. </w:t>
      </w:r>
      <w:r w:rsidRPr="00CE5E88">
        <w:rPr>
          <w:lang w:val="de-DE"/>
        </w:rPr>
        <w:t xml:space="preserve">B-/B+-Baum, Hash-Index, Patricia/Radix-Tree, ART und </w:t>
      </w:r>
      <w:proofErr w:type="spellStart"/>
      <w:r w:rsidRPr="00CE5E88">
        <w:rPr>
          <w:lang w:val="de-DE"/>
        </w:rPr>
        <w:t>Masstree</w:t>
      </w:r>
      <w:proofErr w:type="spellEnd"/>
      <w:r w:rsidRPr="00CE5E88">
        <w:rPr>
          <w:lang w:val="de-DE"/>
        </w:rPr>
        <w:t>.</w:t>
      </w:r>
    </w:p>
    <w:p w14:paraId="33C66A6A" w14:textId="77777777" w:rsidR="008131A0" w:rsidRPr="00CE5E88" w:rsidRDefault="00D22FD3">
      <w:pPr>
        <w:rPr>
          <w:lang w:val="de-DE"/>
        </w:rPr>
      </w:pPr>
      <w:r w:rsidRPr="00CE5E88">
        <w:rPr>
          <w:b/>
          <w:lang w:val="de-DE"/>
        </w:rPr>
        <w:t xml:space="preserve">Metriken. </w:t>
      </w:r>
      <w:r w:rsidRPr="00CE5E88">
        <w:rPr>
          <w:lang w:val="de-DE"/>
        </w:rPr>
        <w:t>Exact-/</w:t>
      </w:r>
      <w:proofErr w:type="spellStart"/>
      <w:r w:rsidRPr="00CE5E88">
        <w:rPr>
          <w:lang w:val="de-DE"/>
        </w:rPr>
        <w:t>Prefix</w:t>
      </w:r>
      <w:proofErr w:type="spellEnd"/>
      <w:r w:rsidRPr="00CE5E88">
        <w:rPr>
          <w:lang w:val="de-DE"/>
        </w:rPr>
        <w:t xml:space="preserve">-Lookup-Durchsatz, p50/p95/p99-Latenz, </w:t>
      </w:r>
      <w:proofErr w:type="spellStart"/>
      <w:r w:rsidRPr="00CE5E88">
        <w:rPr>
          <w:lang w:val="de-DE"/>
        </w:rPr>
        <w:t>Build</w:t>
      </w:r>
      <w:proofErr w:type="spellEnd"/>
      <w:r w:rsidRPr="00CE5E88">
        <w:rPr>
          <w:lang w:val="de-DE"/>
        </w:rPr>
        <w:t>-Zeit, Insert/Update/Delete-Kosten, Bytes pro Key, LLC-</w:t>
      </w:r>
      <w:proofErr w:type="spellStart"/>
      <w:r w:rsidRPr="00CE5E88">
        <w:rPr>
          <w:lang w:val="de-DE"/>
        </w:rPr>
        <w:t>Misses</w:t>
      </w:r>
      <w:proofErr w:type="spellEnd"/>
      <w:r w:rsidRPr="00CE5E88">
        <w:rPr>
          <w:lang w:val="de-DE"/>
        </w:rPr>
        <w:t xml:space="preserve">, </w:t>
      </w:r>
      <w:proofErr w:type="spellStart"/>
      <w:r w:rsidRPr="00CE5E88">
        <w:rPr>
          <w:lang w:val="de-DE"/>
        </w:rPr>
        <w:t>dTLB-Misses</w:t>
      </w:r>
      <w:proofErr w:type="spellEnd"/>
      <w:r w:rsidRPr="00CE5E88">
        <w:rPr>
          <w:lang w:val="de-DE"/>
        </w:rPr>
        <w:t>, Branch-</w:t>
      </w:r>
      <w:proofErr w:type="spellStart"/>
      <w:r w:rsidRPr="00CE5E88">
        <w:rPr>
          <w:lang w:val="de-DE"/>
        </w:rPr>
        <w:t>Mispredictions</w:t>
      </w:r>
      <w:proofErr w:type="spellEnd"/>
      <w:r w:rsidRPr="00CE5E88">
        <w:rPr>
          <w:lang w:val="de-DE"/>
        </w:rPr>
        <w:t xml:space="preserve"> sowie Verhalten bei erfolglosen Lookups, stark gemeinsamem Präfix und Delete-induzierter Fragmentierung.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8131A0" w:rsidRPr="00CE5E88" w14:paraId="6D367F46" w14:textId="77777777">
        <w:trPr>
          <w:jc w:val="center"/>
        </w:trPr>
        <w:tc>
          <w:tcPr>
            <w:tcW w:w="9354" w:type="dxa"/>
            <w:shd w:val="clear" w:color="auto" w:fill="FFF4D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ED21CC" w14:textId="77777777" w:rsidR="008131A0" w:rsidRPr="00CE5E88" w:rsidRDefault="00D22FD3">
            <w:pPr>
              <w:rPr>
                <w:lang w:val="de-DE"/>
              </w:rPr>
            </w:pPr>
            <w:r w:rsidRPr="00CE5E88">
              <w:rPr>
                <w:b/>
                <w:lang w:val="de-DE"/>
              </w:rPr>
              <w:t xml:space="preserve">Empfohlene Zuspitzung für die Diplomarbeit. </w:t>
            </w:r>
            <w:r w:rsidRPr="00CE5E88">
              <w:rPr>
                <w:lang w:val="de-DE"/>
              </w:rPr>
              <w:t xml:space="preserve">Der Kernbeitrag sollte zuerst die Datenstruktur, das Speicherlayout und die Evaluation auf CPU-Hardware sein. Feingranulare </w:t>
            </w:r>
            <w:proofErr w:type="spellStart"/>
            <w:r w:rsidRPr="00CE5E88">
              <w:rPr>
                <w:lang w:val="de-DE"/>
              </w:rPr>
              <w:t>read</w:t>
            </w:r>
            <w:proofErr w:type="spellEnd"/>
            <w:r w:rsidRPr="00CE5E88">
              <w:rPr>
                <w:lang w:val="de-DE"/>
              </w:rPr>
              <w:t>/</w:t>
            </w:r>
            <w:proofErr w:type="spellStart"/>
            <w:r w:rsidRPr="00CE5E88">
              <w:rPr>
                <w:lang w:val="de-DE"/>
              </w:rPr>
              <w:t>write-Concurrency</w:t>
            </w:r>
            <w:proofErr w:type="spellEnd"/>
            <w:r w:rsidRPr="00CE5E88">
              <w:rPr>
                <w:lang w:val="de-DE"/>
              </w:rPr>
              <w:t xml:space="preserve">, komplexe asynchrone </w:t>
            </w:r>
            <w:proofErr w:type="spellStart"/>
            <w:r w:rsidRPr="00CE5E88">
              <w:rPr>
                <w:lang w:val="de-DE"/>
              </w:rPr>
              <w:t>Rebalancing</w:t>
            </w:r>
            <w:proofErr w:type="spellEnd"/>
            <w:r w:rsidRPr="00CE5E88">
              <w:rPr>
                <w:lang w:val="de-DE"/>
              </w:rPr>
              <w:t>-Strategien und mehrere Fingerprint-</w:t>
            </w:r>
            <w:proofErr w:type="spellStart"/>
            <w:r w:rsidRPr="00CE5E88">
              <w:rPr>
                <w:lang w:val="de-DE"/>
              </w:rPr>
              <w:t>Policies</w:t>
            </w:r>
            <w:proofErr w:type="spellEnd"/>
            <w:r w:rsidRPr="00CE5E88">
              <w:rPr>
                <w:lang w:val="de-DE"/>
              </w:rPr>
              <w:t xml:space="preserve"> sind sinnvolle Erweiterungen, sollten aber im </w:t>
            </w:r>
            <w:proofErr w:type="gramStart"/>
            <w:r w:rsidRPr="00CE5E88">
              <w:rPr>
                <w:lang w:val="de-DE"/>
              </w:rPr>
              <w:t>Exposé</w:t>
            </w:r>
            <w:proofErr w:type="gramEnd"/>
            <w:r w:rsidRPr="00CE5E88">
              <w:rPr>
                <w:lang w:val="de-DE"/>
              </w:rPr>
              <w:t xml:space="preserve"> klar als Ausbauoptionen und nicht als zwingender Minimalumfang erscheinen.</w:t>
            </w:r>
          </w:p>
        </w:tc>
      </w:tr>
    </w:tbl>
    <w:p w14:paraId="5EBD9D69" w14:textId="77777777" w:rsidR="00D22FD3" w:rsidRPr="00CE5E88" w:rsidRDefault="00D22FD3">
      <w:pPr>
        <w:rPr>
          <w:lang w:val="de-DE"/>
        </w:rPr>
      </w:pPr>
    </w:p>
    <w:sectPr w:rsidR="00D22FD3" w:rsidRPr="00CE5E88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976215">
    <w:abstractNumId w:val="8"/>
  </w:num>
  <w:num w:numId="2" w16cid:durableId="256064522">
    <w:abstractNumId w:val="6"/>
  </w:num>
  <w:num w:numId="3" w16cid:durableId="666637208">
    <w:abstractNumId w:val="5"/>
  </w:num>
  <w:num w:numId="4" w16cid:durableId="1841772245">
    <w:abstractNumId w:val="4"/>
  </w:num>
  <w:num w:numId="5" w16cid:durableId="1831751897">
    <w:abstractNumId w:val="7"/>
  </w:num>
  <w:num w:numId="6" w16cid:durableId="1258909152">
    <w:abstractNumId w:val="3"/>
  </w:num>
  <w:num w:numId="7" w16cid:durableId="1032849672">
    <w:abstractNumId w:val="2"/>
  </w:num>
  <w:num w:numId="8" w16cid:durableId="1871606454">
    <w:abstractNumId w:val="1"/>
  </w:num>
  <w:num w:numId="9" w16cid:durableId="95008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56D"/>
    <w:rsid w:val="0029639D"/>
    <w:rsid w:val="00326F90"/>
    <w:rsid w:val="0068598D"/>
    <w:rsid w:val="008131A0"/>
    <w:rsid w:val="00AA1D8D"/>
    <w:rsid w:val="00B47730"/>
    <w:rsid w:val="00CB0664"/>
    <w:rsid w:val="00CE5E88"/>
    <w:rsid w:val="00D22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17417"/>
  <w14:defaultImageDpi w14:val="300"/>
  <w15:docId w15:val="{F7312F8F-9230-4703-93AF-47913BE0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Standard"/>
    <w:pPr>
      <w:spacing w:after="60"/>
    </w:pPr>
    <w:rPr>
      <w:b/>
      <w:color w:val="193766"/>
      <w:sz w:val="34"/>
    </w:rPr>
  </w:style>
  <w:style w:type="paragraph" w:customStyle="1" w:styleId="SubtitleCustom">
    <w:name w:val="SubtitleCustom"/>
    <w:basedOn w:val="Standard"/>
    <w:pPr>
      <w:spacing w:after="160"/>
    </w:pPr>
    <w:rPr>
      <w:i/>
      <w:color w:val="505050"/>
    </w:rPr>
  </w:style>
  <w:style w:type="paragraph" w:customStyle="1" w:styleId="HeadingBlue">
    <w:name w:val="HeadingBlue"/>
    <w:basedOn w:val="Standard"/>
    <w:pPr>
      <w:spacing w:before="160" w:after="60"/>
    </w:pPr>
    <w:rPr>
      <w:b/>
      <w:color w:val="193766"/>
      <w:sz w:val="24"/>
    </w:rPr>
  </w:style>
  <w:style w:type="paragraph" w:customStyle="1" w:styleId="SmallBox">
    <w:name w:val="SmallBox"/>
    <w:basedOn w:val="Standard"/>
    <w:pPr>
      <w:spacing w:after="0"/>
      <w:ind w:left="57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3</cp:revision>
  <dcterms:created xsi:type="dcterms:W3CDTF">2013-12-23T23:15:00Z</dcterms:created>
  <dcterms:modified xsi:type="dcterms:W3CDTF">2026-03-21T16:41:00Z</dcterms:modified>
  <cp:category/>
</cp:coreProperties>
</file>