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E120" w14:textId="77777777" w:rsidR="00B65033" w:rsidRPr="001E6F9D" w:rsidRDefault="001542A2">
      <w:pPr>
        <w:pStyle w:val="Titel"/>
        <w:rPr>
          <w:lang w:val="de-DE"/>
        </w:rPr>
      </w:pPr>
      <w:r w:rsidRPr="001E6F9D">
        <w:rPr>
          <w:lang w:val="de-DE"/>
        </w:rPr>
        <w:t>Ausarbeitung Termin 2</w:t>
      </w:r>
    </w:p>
    <w:p w14:paraId="22045E7F" w14:textId="77777777" w:rsidR="00B65033" w:rsidRPr="001E6F9D" w:rsidRDefault="001542A2">
      <w:pPr>
        <w:spacing w:after="120"/>
        <w:rPr>
          <w:lang w:val="de-DE"/>
        </w:rPr>
      </w:pPr>
      <w:r w:rsidRPr="001E6F9D">
        <w:rPr>
          <w:color w:val="5A6270"/>
          <w:sz w:val="22"/>
          <w:lang w:val="de-DE"/>
        </w:rPr>
        <w:t>Cache-line-aware Entwurf von PRT-ART | eingefrorene Architekturentscheidungen, Invarianten, Risiken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6"/>
      </w:tblGrid>
      <w:tr w:rsidR="00B65033" w:rsidRPr="001E6F9D" w14:paraId="3D2CCB1A" w14:textId="77777777">
        <w:trPr>
          <w:jc w:val="center"/>
        </w:trPr>
        <w:tc>
          <w:tcPr>
            <w:tcW w:w="10086" w:type="dxa"/>
            <w:shd w:val="clear" w:color="auto" w:fill="1F4E79"/>
          </w:tcPr>
          <w:p w14:paraId="1CA9E7C2" w14:textId="77777777" w:rsidR="00B65033" w:rsidRPr="001E6F9D" w:rsidRDefault="00B65033">
            <w:pPr>
              <w:rPr>
                <w:lang w:val="de-DE"/>
              </w:rPr>
            </w:pPr>
          </w:p>
        </w:tc>
      </w:tr>
    </w:tbl>
    <w:p w14:paraId="7A78852D" w14:textId="77777777" w:rsidR="00B65033" w:rsidRPr="001E6F9D" w:rsidRDefault="00B65033">
      <w:pPr>
        <w:rPr>
          <w:lang w:val="de-DE"/>
        </w:rPr>
      </w:pPr>
    </w:p>
    <w:tbl>
      <w:tblPr>
        <w:tblW w:w="0" w:type="auto"/>
        <w:jc w:val="center"/>
        <w:tblBorders>
          <w:top w:val="single" w:sz="10" w:space="0" w:color="9FB6D0"/>
          <w:left w:val="single" w:sz="10" w:space="0" w:color="9FB6D0"/>
          <w:bottom w:val="single" w:sz="10" w:space="0" w:color="9FB6D0"/>
          <w:right w:val="single" w:sz="10" w:space="0" w:color="9FB6D0"/>
          <w:insideH w:val="single" w:sz="10" w:space="0" w:color="9FB6D0"/>
          <w:insideV w:val="single" w:sz="10" w:space="0" w:color="9FB6D0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B65033" w:rsidRPr="001E6F9D" w14:paraId="3A70A748" w14:textId="77777777">
        <w:trPr>
          <w:jc w:val="center"/>
        </w:trPr>
        <w:tc>
          <w:tcPr>
            <w:tcW w:w="10086" w:type="dxa"/>
            <w:shd w:val="clear" w:color="auto" w:fill="EEF4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9FC4A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color w:val="23344C"/>
                <w:sz w:val="20"/>
                <w:lang w:val="de-DE"/>
              </w:rPr>
              <w:t>Leitbild: PRT-ART ist kein einzelner Knotentyp, sondern eine kleine, bewusst begrenzte Familie lokaler Seitentypen unter einer präfixorientierten Trie-Hülle. Die Navigationsstruktur bleibt heiß und kompakt; Payload liegt standardmäßig außerhalb des Suchpfads.</w:t>
            </w:r>
          </w:p>
        </w:tc>
      </w:tr>
    </w:tbl>
    <w:p w14:paraId="0ECE4D80" w14:textId="77777777" w:rsidR="00B65033" w:rsidRPr="001E6F9D" w:rsidRDefault="00B65033">
      <w:pPr>
        <w:rPr>
          <w:lang w:val="de-DE"/>
        </w:rPr>
      </w:pPr>
    </w:p>
    <w:p w14:paraId="1B7FE0E6" w14:textId="77777777" w:rsidR="00B65033" w:rsidRPr="001E6F9D" w:rsidRDefault="001542A2">
      <w:pPr>
        <w:pStyle w:val="berschrift1"/>
        <w:rPr>
          <w:lang w:val="de-DE"/>
        </w:rPr>
      </w:pPr>
      <w:r w:rsidRPr="001E6F9D">
        <w:rPr>
          <w:lang w:val="de-DE"/>
        </w:rPr>
        <w:t>1. Eingefrorener Kernentwurf</w:t>
      </w:r>
    </w:p>
    <w:p w14:paraId="13E39047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 xml:space="preserve">Globale Form: eine ordnungserhaltende Trie-Hülle mit </w:t>
      </w:r>
      <w:proofErr w:type="spellStart"/>
      <w:r w:rsidRPr="001E6F9D">
        <w:rPr>
          <w:lang w:val="de-DE"/>
        </w:rPr>
        <w:t>CoCo</w:t>
      </w:r>
      <w:proofErr w:type="spellEnd"/>
      <w:r w:rsidRPr="001E6F9D">
        <w:rPr>
          <w:lang w:val="de-DE"/>
        </w:rPr>
        <w:t>-</w:t>
      </w:r>
      <w:proofErr w:type="spellStart"/>
      <w:r w:rsidRPr="001E6F9D">
        <w:rPr>
          <w:lang w:val="de-DE"/>
        </w:rPr>
        <w:t>trie</w:t>
      </w:r>
      <w:proofErr w:type="spellEnd"/>
      <w:r w:rsidRPr="001E6F9D">
        <w:rPr>
          <w:lang w:val="de-DE"/>
        </w:rPr>
        <w:t>-artigen Redirect-Knoten für eindeutige Restpfade.</w:t>
      </w:r>
    </w:p>
    <w:p w14:paraId="1C22BA87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 xml:space="preserve">Lokale Suchseiten: eine begrenzte Familie aus Dense-Byte-Page, Extended Dense Page, </w:t>
      </w:r>
      <w:proofErr w:type="spellStart"/>
      <w:r w:rsidRPr="001E6F9D">
        <w:rPr>
          <w:lang w:val="de-DE"/>
        </w:rPr>
        <w:t>Sparse</w:t>
      </w:r>
      <w:proofErr w:type="spellEnd"/>
      <w:r w:rsidRPr="001E6F9D">
        <w:rPr>
          <w:lang w:val="de-DE"/>
        </w:rPr>
        <w:t xml:space="preserve"> Patricia Page und PRT-Custom-Cache-Page.</w:t>
      </w:r>
    </w:p>
    <w:p w14:paraId="7B5A9280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 xml:space="preserve">Terminale Semantik: terminale Knoten statt terminaler Blätter; ein terminaler Knoten trägt ein </w:t>
      </w:r>
      <w:proofErr w:type="spellStart"/>
      <w:r w:rsidRPr="001E6F9D">
        <w:rPr>
          <w:lang w:val="de-DE"/>
        </w:rPr>
        <w:t>ValueHandle</w:t>
      </w:r>
      <w:proofErr w:type="spellEnd"/>
      <w:r w:rsidRPr="001E6F9D">
        <w:rPr>
          <w:lang w:val="de-DE"/>
        </w:rPr>
        <w:t>.</w:t>
      </w:r>
    </w:p>
    <w:p w14:paraId="5CB320F3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 xml:space="preserve">Payload: </w:t>
      </w:r>
      <w:proofErr w:type="spellStart"/>
      <w:r w:rsidRPr="001E6F9D">
        <w:rPr>
          <w:lang w:val="de-DE"/>
        </w:rPr>
        <w:t>hot</w:t>
      </w:r>
      <w:proofErr w:type="spellEnd"/>
      <w:r w:rsidRPr="001E6F9D">
        <w:rPr>
          <w:lang w:val="de-DE"/>
        </w:rPr>
        <w:t>/</w:t>
      </w:r>
      <w:proofErr w:type="spellStart"/>
      <w:r w:rsidRPr="001E6F9D">
        <w:rPr>
          <w:lang w:val="de-DE"/>
        </w:rPr>
        <w:t>cold</w:t>
      </w:r>
      <w:proofErr w:type="spellEnd"/>
      <w:r w:rsidRPr="001E6F9D">
        <w:rPr>
          <w:lang w:val="de-DE"/>
        </w:rPr>
        <w:t xml:space="preserve"> </w:t>
      </w:r>
      <w:proofErr w:type="spellStart"/>
      <w:r w:rsidRPr="001E6F9D">
        <w:rPr>
          <w:lang w:val="de-DE"/>
        </w:rPr>
        <w:t>split</w:t>
      </w:r>
      <w:proofErr w:type="spellEnd"/>
      <w:r w:rsidRPr="001E6F9D">
        <w:rPr>
          <w:lang w:val="de-DE"/>
        </w:rPr>
        <w:t>. Der Suchpfad enthält standardmäßig keine großen Nutzdaten; kleine Werte dürfen im Inline-Modus direkt im terminalen Knoten liegen.</w:t>
      </w:r>
    </w:p>
    <w:p w14:paraId="5F03EC35" w14:textId="77777777" w:rsidR="00B65033" w:rsidRDefault="001542A2">
      <w:pPr>
        <w:pStyle w:val="berschrift1"/>
      </w:pPr>
      <w:r>
        <w:t>2. Logische Seitentypenfamilie</w:t>
      </w:r>
    </w:p>
    <w:tbl>
      <w:tblPr>
        <w:tblW w:w="10577" w:type="dxa"/>
        <w:jc w:val="center"/>
        <w:tblBorders>
          <w:top w:val="single" w:sz="8" w:space="0" w:color="C7D1DE"/>
          <w:left w:val="single" w:sz="8" w:space="0" w:color="C7D1DE"/>
          <w:bottom w:val="single" w:sz="8" w:space="0" w:color="C7D1DE"/>
          <w:right w:val="single" w:sz="8" w:space="0" w:color="C7D1DE"/>
          <w:insideH w:val="single" w:sz="8" w:space="0" w:color="C7D1DE"/>
          <w:insideV w:val="single" w:sz="8" w:space="0" w:color="C7D1DE"/>
        </w:tblBorders>
        <w:tblLayout w:type="fixed"/>
        <w:tblLook w:val="04A0" w:firstRow="1" w:lastRow="0" w:firstColumn="1" w:lastColumn="0" w:noHBand="0" w:noVBand="1"/>
      </w:tblPr>
      <w:tblGrid>
        <w:gridCol w:w="1602"/>
        <w:gridCol w:w="3362"/>
        <w:gridCol w:w="5613"/>
      </w:tblGrid>
      <w:tr w:rsidR="00B65033" w:rsidRPr="001E6F9D" w14:paraId="71E4790A" w14:textId="77777777" w:rsidTr="001E6F9D">
        <w:trPr>
          <w:jc w:val="center"/>
        </w:trPr>
        <w:tc>
          <w:tcPr>
            <w:tcW w:w="1602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9969B" w14:textId="77777777" w:rsidR="00B65033" w:rsidRDefault="001542A2">
            <w:pPr>
              <w:jc w:val="center"/>
            </w:pPr>
            <w:proofErr w:type="spellStart"/>
            <w:r>
              <w:rPr>
                <w:b/>
                <w:color w:val="162D4C"/>
                <w:sz w:val="18"/>
              </w:rPr>
              <w:t>Seitentyp</w:t>
            </w:r>
            <w:proofErr w:type="spellEnd"/>
          </w:p>
        </w:tc>
        <w:tc>
          <w:tcPr>
            <w:tcW w:w="3362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37A9F" w14:textId="77777777" w:rsidR="00B65033" w:rsidRDefault="001542A2">
            <w:pPr>
              <w:jc w:val="center"/>
            </w:pPr>
            <w:r>
              <w:rPr>
                <w:b/>
                <w:color w:val="162D4C"/>
                <w:sz w:val="18"/>
              </w:rPr>
              <w:t>Literaturanker</w:t>
            </w:r>
          </w:p>
        </w:tc>
        <w:tc>
          <w:tcPr>
            <w:tcW w:w="5613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3F617" w14:textId="77777777" w:rsidR="00B65033" w:rsidRPr="001E6F9D" w:rsidRDefault="001542A2">
            <w:pPr>
              <w:jc w:val="center"/>
              <w:rPr>
                <w:lang w:val="de-DE"/>
              </w:rPr>
            </w:pPr>
            <w:r w:rsidRPr="001E6F9D">
              <w:rPr>
                <w:b/>
                <w:color w:val="162D4C"/>
                <w:sz w:val="18"/>
                <w:lang w:val="de-DE"/>
              </w:rPr>
              <w:t>Rolle im PRT-ART-Kern</w:t>
            </w:r>
          </w:p>
        </w:tc>
      </w:tr>
      <w:tr w:rsidR="00B65033" w:rsidRPr="001E6F9D" w14:paraId="0C225164" w14:textId="77777777" w:rsidTr="001E6F9D">
        <w:trPr>
          <w:jc w:val="center"/>
        </w:trPr>
        <w:tc>
          <w:tcPr>
            <w:tcW w:w="160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50466AC" w14:textId="77777777" w:rsidR="00B65033" w:rsidRDefault="001542A2">
            <w:pPr>
              <w:spacing w:after="0"/>
            </w:pPr>
            <w:r>
              <w:rPr>
                <w:sz w:val="18"/>
              </w:rPr>
              <w:t>Redirect-Page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4E3C001" w14:textId="77777777" w:rsidR="00B65033" w:rsidRDefault="001542A2">
            <w:pPr>
              <w:spacing w:after="0"/>
            </w:pPr>
            <w:r>
              <w:rPr>
                <w:sz w:val="18"/>
              </w:rPr>
              <w:t>CoCo-trie / klassische Pfadkompression</w:t>
            </w:r>
          </w:p>
        </w:tc>
        <w:tc>
          <w:tcPr>
            <w:tcW w:w="5613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049D94D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Komprimiert eindeutige Restpfade und zeigt auf den nächsten Knoten; Ziele möglichst auf wenige Cache-Lines kondensieren.</w:t>
            </w:r>
          </w:p>
        </w:tc>
      </w:tr>
      <w:tr w:rsidR="00B65033" w:rsidRPr="001E6F9D" w14:paraId="4D34518A" w14:textId="77777777" w:rsidTr="001E6F9D">
        <w:trPr>
          <w:jc w:val="center"/>
        </w:trPr>
        <w:tc>
          <w:tcPr>
            <w:tcW w:w="160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B992AD1" w14:textId="77777777" w:rsidR="00B65033" w:rsidRDefault="001542A2">
            <w:pPr>
              <w:spacing w:after="0"/>
            </w:pPr>
            <w:r>
              <w:rPr>
                <w:sz w:val="18"/>
              </w:rPr>
              <w:t>Dense-Byte-Page</w:t>
            </w:r>
          </w:p>
        </w:tc>
        <w:tc>
          <w:tcPr>
            <w:tcW w:w="336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E0C6453" w14:textId="77777777" w:rsidR="00B65033" w:rsidRDefault="001542A2">
            <w:pPr>
              <w:spacing w:after="0"/>
            </w:pPr>
            <w:r>
              <w:rPr>
                <w:sz w:val="18"/>
              </w:rPr>
              <w:t>ART</w:t>
            </w:r>
          </w:p>
        </w:tc>
        <w:tc>
          <w:tcPr>
            <w:tcW w:w="5613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C719A2C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Dichte lokale Übergänge über ein Byte; direkte oder nahezu direkte Adressierung mit stark vorhersehbarer Traversierung.</w:t>
            </w:r>
          </w:p>
        </w:tc>
      </w:tr>
      <w:tr w:rsidR="00B65033" w:rsidRPr="001E6F9D" w14:paraId="16D94CCC" w14:textId="77777777" w:rsidTr="001E6F9D">
        <w:trPr>
          <w:jc w:val="center"/>
        </w:trPr>
        <w:tc>
          <w:tcPr>
            <w:tcW w:w="160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B2906E1" w14:textId="77777777" w:rsidR="00B65033" w:rsidRDefault="001542A2">
            <w:pPr>
              <w:spacing w:after="0"/>
            </w:pPr>
            <w:r>
              <w:rPr>
                <w:sz w:val="18"/>
              </w:rPr>
              <w:t>Extended Dense Page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FF9C739" w14:textId="77777777" w:rsidR="00B65033" w:rsidRDefault="001542A2">
            <w:pPr>
              <w:spacing w:after="0"/>
            </w:pPr>
            <w:r>
              <w:rPr>
                <w:sz w:val="18"/>
              </w:rPr>
              <w:t>START</w:t>
            </w:r>
          </w:p>
        </w:tc>
        <w:tc>
          <w:tcPr>
            <w:tcW w:w="5613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C5C9552" w14:textId="77777777" w:rsidR="00B65033" w:rsidRPr="001E6F9D" w:rsidRDefault="001542A2">
            <w:pPr>
              <w:spacing w:after="0"/>
              <w:rPr>
                <w:lang w:val="de-DE"/>
              </w:rPr>
            </w:pPr>
            <w:proofErr w:type="spellStart"/>
            <w:r w:rsidRPr="001E6F9D">
              <w:rPr>
                <w:sz w:val="18"/>
                <w:lang w:val="de-DE"/>
              </w:rPr>
              <w:t>Mehrbyteige</w:t>
            </w:r>
            <w:proofErr w:type="spellEnd"/>
            <w:r w:rsidRPr="001E6F9D">
              <w:rPr>
                <w:sz w:val="18"/>
                <w:lang w:val="de-DE"/>
              </w:rPr>
              <w:t xml:space="preserve"> dichte Transitionen; reduziert Höhe lokal, benötigt aber schwellwert- oder kostenmodellbasiertes Tuning.</w:t>
            </w:r>
          </w:p>
        </w:tc>
      </w:tr>
      <w:tr w:rsidR="00B65033" w:rsidRPr="001E6F9D" w14:paraId="016DD070" w14:textId="77777777" w:rsidTr="001E6F9D">
        <w:trPr>
          <w:jc w:val="center"/>
        </w:trPr>
        <w:tc>
          <w:tcPr>
            <w:tcW w:w="160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963F811" w14:textId="77777777" w:rsidR="00B65033" w:rsidRDefault="001542A2">
            <w:pPr>
              <w:spacing w:after="0"/>
            </w:pPr>
            <w:r>
              <w:rPr>
                <w:sz w:val="18"/>
              </w:rPr>
              <w:t>Sparse Patricia Page</w:t>
            </w:r>
          </w:p>
        </w:tc>
        <w:tc>
          <w:tcPr>
            <w:tcW w:w="336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B30625D" w14:textId="77777777" w:rsidR="00B65033" w:rsidRDefault="001542A2">
            <w:pPr>
              <w:spacing w:after="0"/>
            </w:pPr>
            <w:r>
              <w:rPr>
                <w:sz w:val="18"/>
              </w:rPr>
              <w:t>HOT</w:t>
            </w:r>
          </w:p>
        </w:tc>
        <w:tc>
          <w:tcPr>
            <w:tcW w:w="5613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A3A80DA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 xml:space="preserve">Nutzen diskriminierender Bits, partielle Schlüssel und kompakte Layouts für </w:t>
            </w:r>
            <w:proofErr w:type="spellStart"/>
            <w:r w:rsidRPr="001E6F9D">
              <w:rPr>
                <w:sz w:val="18"/>
                <w:lang w:val="de-DE"/>
              </w:rPr>
              <w:t>sparse</w:t>
            </w:r>
            <w:proofErr w:type="spellEnd"/>
            <w:r w:rsidRPr="001E6F9D">
              <w:rPr>
                <w:sz w:val="18"/>
                <w:lang w:val="de-DE"/>
              </w:rPr>
              <w:t xml:space="preserve"> Suchräume; page-lokale Suche statt Pointer-</w:t>
            </w:r>
            <w:proofErr w:type="spellStart"/>
            <w:r w:rsidRPr="001E6F9D">
              <w:rPr>
                <w:sz w:val="18"/>
                <w:lang w:val="de-DE"/>
              </w:rPr>
              <w:t>Chasing</w:t>
            </w:r>
            <w:proofErr w:type="spellEnd"/>
            <w:r w:rsidRPr="001E6F9D">
              <w:rPr>
                <w:sz w:val="18"/>
                <w:lang w:val="de-DE"/>
              </w:rPr>
              <w:t>.</w:t>
            </w:r>
          </w:p>
        </w:tc>
      </w:tr>
      <w:tr w:rsidR="00B65033" w:rsidRPr="001E6F9D" w14:paraId="617C00F7" w14:textId="77777777" w:rsidTr="001E6F9D">
        <w:trPr>
          <w:jc w:val="center"/>
        </w:trPr>
        <w:tc>
          <w:tcPr>
            <w:tcW w:w="160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E216BA" w14:textId="77777777" w:rsidR="00B65033" w:rsidRDefault="001542A2">
            <w:pPr>
              <w:spacing w:after="0"/>
            </w:pPr>
            <w:r>
              <w:rPr>
                <w:sz w:val="18"/>
              </w:rPr>
              <w:t>PRT-Custom-Cache-Page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88EC6B2" w14:textId="77777777" w:rsidR="00B65033" w:rsidRDefault="001542A2">
            <w:pPr>
              <w:spacing w:after="0"/>
            </w:pPr>
            <w:r>
              <w:rPr>
                <w:sz w:val="18"/>
              </w:rPr>
              <w:t>B²-tree + CSS/CSB+-Prinzipien</w:t>
            </w:r>
          </w:p>
        </w:tc>
        <w:tc>
          <w:tcPr>
            <w:tcW w:w="5613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8697A0C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Page-lokale Suchraum-Einengung, kompakte Metadaten, bewusste Cache-Line-Zuschnitte und pool-relative Handles.</w:t>
            </w:r>
          </w:p>
        </w:tc>
      </w:tr>
    </w:tbl>
    <w:p w14:paraId="6D3DDF11" w14:textId="77777777" w:rsidR="00B65033" w:rsidRPr="001E6F9D" w:rsidRDefault="00B65033">
      <w:pPr>
        <w:rPr>
          <w:lang w:val="de-DE"/>
        </w:rPr>
      </w:pPr>
    </w:p>
    <w:p w14:paraId="79A3791F" w14:textId="77777777" w:rsidR="00B65033" w:rsidRPr="001E6F9D" w:rsidRDefault="001542A2">
      <w:pPr>
        <w:pStyle w:val="berschrift1"/>
        <w:rPr>
          <w:lang w:val="de-DE"/>
        </w:rPr>
      </w:pPr>
      <w:r w:rsidRPr="001E6F9D">
        <w:rPr>
          <w:lang w:val="de-DE"/>
        </w:rPr>
        <w:t>3. Die Cache-Engine als zweite Steuerlogik</w:t>
      </w:r>
    </w:p>
    <w:p w14:paraId="0F6A9479" w14:textId="77777777" w:rsidR="00B65033" w:rsidRPr="001E6F9D" w:rsidRDefault="001542A2">
      <w:pPr>
        <w:rPr>
          <w:lang w:val="de-DE"/>
        </w:rPr>
      </w:pPr>
      <w:r w:rsidRPr="001E6F9D">
        <w:rPr>
          <w:lang w:val="de-DE"/>
        </w:rPr>
        <w:t>Die Cache-Engine ist logisch von der Trie-Engine getrennt. Sie ist keine neue Query-Engine, sondern ein lokales Entscheidungswerk, das Seitentyp, Ausrichtung und Handle-Strategie auswählt. Damit wird Cache-Awareness explizit statt implizit.</w:t>
      </w:r>
    </w:p>
    <w:p w14:paraId="06CEA354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 xml:space="preserve">Beobachtbare Eingaben: lokale Dichte und </w:t>
      </w:r>
      <w:proofErr w:type="spellStart"/>
      <w:r w:rsidRPr="001E6F9D">
        <w:rPr>
          <w:lang w:val="de-DE"/>
        </w:rPr>
        <w:t>Fanout</w:t>
      </w:r>
      <w:proofErr w:type="spellEnd"/>
      <w:r w:rsidRPr="001E6F9D">
        <w:rPr>
          <w:lang w:val="de-DE"/>
        </w:rPr>
        <w:t xml:space="preserve"> im aktuellen Teilbaum; Präfixentropie bzw. Länge gemeinsam geteilter Restpfade; erwartete berührte Cache-Lines und Pages pro Lookup; Key- und Value-Größe sowie Inline-Eignung; ISA- und Hardwareprofil (z. B. AVX2 verfügbar, optionale AVX-512-Zielplattform)</w:t>
      </w:r>
    </w:p>
    <w:p w14:paraId="405C77ED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>Entscheidungen: Seitentyp, Alignment, lokale Ordnung, Inline-vs.-Pointer-Value, Reorganisation von Node-Gruppen.</w:t>
      </w:r>
    </w:p>
    <w:p w14:paraId="36719198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>Für Termin 2 reicht ein konkretes Kostenmodell-Gerüst; numerische Schwellwerte werden erst in Termin 3 kalibriert.</w:t>
      </w:r>
    </w:p>
    <w:p w14:paraId="3DEB4D89" w14:textId="77777777" w:rsidR="00B65033" w:rsidRPr="001E6F9D" w:rsidRDefault="001542A2">
      <w:pPr>
        <w:pStyle w:val="berschrift1"/>
        <w:rPr>
          <w:lang w:val="de-DE"/>
        </w:rPr>
      </w:pPr>
      <w:r w:rsidRPr="001E6F9D">
        <w:rPr>
          <w:lang w:val="de-DE"/>
        </w:rPr>
        <w:lastRenderedPageBreak/>
        <w:t xml:space="preserve">4. </w:t>
      </w:r>
      <w:proofErr w:type="spellStart"/>
      <w:r w:rsidRPr="001E6F9D">
        <w:rPr>
          <w:lang w:val="de-DE"/>
        </w:rPr>
        <w:t>ValueHandle</w:t>
      </w:r>
      <w:proofErr w:type="spellEnd"/>
      <w:r w:rsidRPr="001E6F9D">
        <w:rPr>
          <w:lang w:val="de-DE"/>
        </w:rPr>
        <w:t xml:space="preserve"> statt fester Payload-Politik</w:t>
      </w:r>
    </w:p>
    <w:p w14:paraId="070A4808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proofErr w:type="spellStart"/>
      <w:proofErr w:type="gramStart"/>
      <w:r w:rsidRPr="001E6F9D">
        <w:rPr>
          <w:lang w:val="de-DE"/>
        </w:rPr>
        <w:t>ValueHandle</w:t>
      </w:r>
      <w:proofErr w:type="spellEnd"/>
      <w:r w:rsidRPr="001E6F9D">
        <w:rPr>
          <w:lang w:val="de-DE"/>
        </w:rPr>
        <w:t>::</w:t>
      </w:r>
      <w:proofErr w:type="gramEnd"/>
      <w:r w:rsidRPr="001E6F9D">
        <w:rPr>
          <w:lang w:val="de-DE"/>
        </w:rPr>
        <w:t>Inline – für kleine Werte, wenn ein zusätzlicher Pointer teurer wäre als das direkte Mitlesen aus derselben Cache-Line.</w:t>
      </w:r>
    </w:p>
    <w:p w14:paraId="307A046B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proofErr w:type="spellStart"/>
      <w:proofErr w:type="gramStart"/>
      <w:r w:rsidRPr="001E6F9D">
        <w:rPr>
          <w:lang w:val="de-DE"/>
        </w:rPr>
        <w:t>ValueHandle</w:t>
      </w:r>
      <w:proofErr w:type="spellEnd"/>
      <w:r w:rsidRPr="001E6F9D">
        <w:rPr>
          <w:lang w:val="de-DE"/>
        </w:rPr>
        <w:t>::</w:t>
      </w:r>
      <w:proofErr w:type="gramEnd"/>
      <w:r w:rsidRPr="001E6F9D">
        <w:rPr>
          <w:lang w:val="de-DE"/>
        </w:rPr>
        <w:t xml:space="preserve">External – Standardpfad für größere Werte; der terminale Knoten trägt nur eine </w:t>
      </w:r>
      <w:proofErr w:type="spellStart"/>
      <w:r w:rsidRPr="001E6F9D">
        <w:rPr>
          <w:lang w:val="de-DE"/>
        </w:rPr>
        <w:t>referenzierbare</w:t>
      </w:r>
      <w:proofErr w:type="spellEnd"/>
      <w:r w:rsidRPr="001E6F9D">
        <w:rPr>
          <w:lang w:val="de-DE"/>
        </w:rPr>
        <w:t xml:space="preserve"> Handle-/Pointer-Information.</w:t>
      </w:r>
    </w:p>
    <w:p w14:paraId="54084879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proofErr w:type="spellStart"/>
      <w:proofErr w:type="gramStart"/>
      <w:r w:rsidRPr="001E6F9D">
        <w:rPr>
          <w:lang w:val="de-DE"/>
        </w:rPr>
        <w:t>ValueHandle</w:t>
      </w:r>
      <w:proofErr w:type="spellEnd"/>
      <w:r w:rsidRPr="001E6F9D">
        <w:rPr>
          <w:lang w:val="de-DE"/>
        </w:rPr>
        <w:t>::</w:t>
      </w:r>
      <w:proofErr w:type="spellStart"/>
      <w:proofErr w:type="gramEnd"/>
      <w:r w:rsidRPr="001E6F9D">
        <w:rPr>
          <w:lang w:val="de-DE"/>
        </w:rPr>
        <w:t>ChainRef</w:t>
      </w:r>
      <w:proofErr w:type="spellEnd"/>
      <w:r w:rsidRPr="001E6F9D">
        <w:rPr>
          <w:lang w:val="de-DE"/>
        </w:rPr>
        <w:t xml:space="preserve"> – als explizit vertagte Erweiterung für Value-</w:t>
      </w:r>
      <w:proofErr w:type="spellStart"/>
      <w:r w:rsidRPr="001E6F9D">
        <w:rPr>
          <w:lang w:val="de-DE"/>
        </w:rPr>
        <w:t>Dedup</w:t>
      </w:r>
      <w:proofErr w:type="spellEnd"/>
      <w:r w:rsidRPr="001E6F9D">
        <w:rPr>
          <w:lang w:val="de-DE"/>
        </w:rPr>
        <w:t xml:space="preserve"> oder verkettete Payload-Segmente. Nicht Kern von Termin 2.</w:t>
      </w:r>
    </w:p>
    <w:p w14:paraId="5CD12E5C" w14:textId="77777777" w:rsidR="00B65033" w:rsidRPr="001E6F9D" w:rsidRDefault="001542A2">
      <w:pPr>
        <w:pStyle w:val="berschrift1"/>
        <w:rPr>
          <w:lang w:val="de-DE"/>
        </w:rPr>
      </w:pPr>
      <w:r w:rsidRPr="001E6F9D">
        <w:rPr>
          <w:lang w:val="de-DE"/>
        </w:rPr>
        <w:t>5. Ordnung und Sortierung als Policy-Achse</w:t>
      </w:r>
    </w:p>
    <w:p w14:paraId="5FEC688B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>Default-Modus: keine garantierte Enumerationsreihenfolge; optimiert für reine Navigationsleistung.</w:t>
      </w:r>
    </w:p>
    <w:p w14:paraId="0B7396A2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>Lokaler Ordnungsmodus: geordnete Einträge innerhalb einer Seite oder Knotengruppe, ohne globale Lex-Garantie.</w:t>
      </w:r>
    </w:p>
    <w:p w14:paraId="6C667B2C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 xml:space="preserve">Lex-Modus: expliziter, global lexikographischer Betriebsmodus für </w:t>
      </w:r>
      <w:proofErr w:type="spellStart"/>
      <w:r w:rsidRPr="001E6F9D">
        <w:rPr>
          <w:lang w:val="de-DE"/>
        </w:rPr>
        <w:t>Prefix</w:t>
      </w:r>
      <w:proofErr w:type="spellEnd"/>
      <w:r w:rsidRPr="001E6F9D">
        <w:rPr>
          <w:lang w:val="de-DE"/>
        </w:rPr>
        <w:t xml:space="preserve"> Enumeration und Range-ähnliche Ausgaben.</w:t>
      </w:r>
    </w:p>
    <w:p w14:paraId="32903B46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>Konkrete Sortieralgorithmen bleiben Policy-Hooks; Termin 2 friert nur die Semantik, nicht den späteren Sortiervergleich ein.</w:t>
      </w:r>
    </w:p>
    <w:p w14:paraId="623EC2AC" w14:textId="77777777" w:rsidR="00B65033" w:rsidRDefault="001542A2">
      <w:pPr>
        <w:pStyle w:val="berschrift1"/>
      </w:pPr>
      <w:r>
        <w:t>6. Invarianten</w:t>
      </w:r>
    </w:p>
    <w:tbl>
      <w:tblPr>
        <w:tblW w:w="9321" w:type="dxa"/>
        <w:jc w:val="center"/>
        <w:tblBorders>
          <w:top w:val="single" w:sz="8" w:space="0" w:color="C7D1DE"/>
          <w:left w:val="single" w:sz="8" w:space="0" w:color="C7D1DE"/>
          <w:bottom w:val="single" w:sz="8" w:space="0" w:color="C7D1DE"/>
          <w:right w:val="single" w:sz="8" w:space="0" w:color="C7D1DE"/>
          <w:insideH w:val="single" w:sz="8" w:space="0" w:color="C7D1DE"/>
          <w:insideV w:val="single" w:sz="8" w:space="0" w:color="C7D1DE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8617"/>
      </w:tblGrid>
      <w:tr w:rsidR="00B65033" w14:paraId="54DCF937" w14:textId="77777777" w:rsidTr="001E6F9D">
        <w:trPr>
          <w:jc w:val="center"/>
        </w:trPr>
        <w:tc>
          <w:tcPr>
            <w:tcW w:w="704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F1CF3" w14:textId="77777777" w:rsidR="00B65033" w:rsidRDefault="001542A2">
            <w:pPr>
              <w:jc w:val="center"/>
            </w:pPr>
            <w:r>
              <w:rPr>
                <w:b/>
                <w:color w:val="162D4C"/>
                <w:sz w:val="18"/>
              </w:rPr>
              <w:t>ID</w:t>
            </w:r>
          </w:p>
        </w:tc>
        <w:tc>
          <w:tcPr>
            <w:tcW w:w="8617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64F4C" w14:textId="77777777" w:rsidR="00B65033" w:rsidRDefault="001542A2">
            <w:pPr>
              <w:jc w:val="center"/>
            </w:pPr>
            <w:proofErr w:type="spellStart"/>
            <w:r>
              <w:rPr>
                <w:b/>
                <w:color w:val="162D4C"/>
                <w:sz w:val="18"/>
              </w:rPr>
              <w:t>Invariante</w:t>
            </w:r>
            <w:proofErr w:type="spellEnd"/>
          </w:p>
        </w:tc>
      </w:tr>
      <w:tr w:rsidR="00B65033" w:rsidRPr="001E6F9D" w14:paraId="2F016D92" w14:textId="77777777" w:rsidTr="001E6F9D">
        <w:trPr>
          <w:jc w:val="center"/>
        </w:trPr>
        <w:tc>
          <w:tcPr>
            <w:tcW w:w="704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C518E52" w14:textId="77777777" w:rsidR="00B65033" w:rsidRDefault="001542A2">
            <w:pPr>
              <w:spacing w:after="0"/>
            </w:pPr>
            <w:r>
              <w:rPr>
                <w:sz w:val="18"/>
              </w:rPr>
              <w:t>I1</w:t>
            </w:r>
          </w:p>
        </w:tc>
        <w:tc>
          <w:tcPr>
            <w:tcW w:w="8617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FCDA360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Jeder Lookup traversiert ausschließlich Navigationsknoten bis zu einem terminalen Knoten oder Miss.</w:t>
            </w:r>
          </w:p>
        </w:tc>
      </w:tr>
      <w:tr w:rsidR="00B65033" w:rsidRPr="001E6F9D" w14:paraId="48FEC58C" w14:textId="77777777" w:rsidTr="001E6F9D">
        <w:trPr>
          <w:jc w:val="center"/>
        </w:trPr>
        <w:tc>
          <w:tcPr>
            <w:tcW w:w="70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4D54FC1" w14:textId="77777777" w:rsidR="00B65033" w:rsidRDefault="001542A2">
            <w:pPr>
              <w:spacing w:after="0"/>
            </w:pPr>
            <w:r>
              <w:rPr>
                <w:sz w:val="18"/>
              </w:rPr>
              <w:t>I2</w:t>
            </w:r>
          </w:p>
        </w:tc>
        <w:tc>
          <w:tcPr>
            <w:tcW w:w="8617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6619785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 xml:space="preserve">Ein terminaler Knoten besitzt genau ein </w:t>
            </w:r>
            <w:proofErr w:type="spellStart"/>
            <w:r w:rsidRPr="001E6F9D">
              <w:rPr>
                <w:sz w:val="18"/>
                <w:lang w:val="de-DE"/>
              </w:rPr>
              <w:t>ValueHandle</w:t>
            </w:r>
            <w:proofErr w:type="spellEnd"/>
            <w:r w:rsidRPr="001E6F9D">
              <w:rPr>
                <w:sz w:val="18"/>
                <w:lang w:val="de-DE"/>
              </w:rPr>
              <w:t>; Payload ist standardmäßig extern, optional inline.</w:t>
            </w:r>
          </w:p>
        </w:tc>
      </w:tr>
      <w:tr w:rsidR="00B65033" w:rsidRPr="001E6F9D" w14:paraId="76697873" w14:textId="77777777" w:rsidTr="001E6F9D">
        <w:trPr>
          <w:jc w:val="center"/>
        </w:trPr>
        <w:tc>
          <w:tcPr>
            <w:tcW w:w="704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0ED6BD7" w14:textId="77777777" w:rsidR="00B65033" w:rsidRDefault="001542A2">
            <w:pPr>
              <w:spacing w:after="0"/>
            </w:pPr>
            <w:r>
              <w:rPr>
                <w:sz w:val="18"/>
              </w:rPr>
              <w:t>I3</w:t>
            </w:r>
          </w:p>
        </w:tc>
        <w:tc>
          <w:tcPr>
            <w:tcW w:w="8617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F4F0B18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Redirect-Knoten komprimieren eindeutige Restpfade, ersetzen aber keine echte Mehrfachverzweigung.</w:t>
            </w:r>
          </w:p>
        </w:tc>
      </w:tr>
      <w:tr w:rsidR="00B65033" w:rsidRPr="001E6F9D" w14:paraId="0343BDCB" w14:textId="77777777" w:rsidTr="001E6F9D">
        <w:trPr>
          <w:jc w:val="center"/>
        </w:trPr>
        <w:tc>
          <w:tcPr>
            <w:tcW w:w="70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73EC0B9" w14:textId="77777777" w:rsidR="00B65033" w:rsidRDefault="001542A2">
            <w:pPr>
              <w:spacing w:after="0"/>
            </w:pPr>
            <w:r>
              <w:rPr>
                <w:sz w:val="18"/>
              </w:rPr>
              <w:t>I4</w:t>
            </w:r>
          </w:p>
        </w:tc>
        <w:tc>
          <w:tcPr>
            <w:tcW w:w="8617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D74573E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Lokale Seitencodierung darf variieren, solange die Ordnungsrelation der rohen Byte-Keys nicht verletzt wird.</w:t>
            </w:r>
          </w:p>
        </w:tc>
      </w:tr>
      <w:tr w:rsidR="00B65033" w:rsidRPr="001E6F9D" w14:paraId="2465232A" w14:textId="77777777" w:rsidTr="001E6F9D">
        <w:trPr>
          <w:jc w:val="center"/>
        </w:trPr>
        <w:tc>
          <w:tcPr>
            <w:tcW w:w="704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8D4C72C" w14:textId="77777777" w:rsidR="00B65033" w:rsidRDefault="001542A2">
            <w:pPr>
              <w:spacing w:after="0"/>
            </w:pPr>
            <w:r>
              <w:rPr>
                <w:sz w:val="18"/>
              </w:rPr>
              <w:t>I5</w:t>
            </w:r>
          </w:p>
        </w:tc>
        <w:tc>
          <w:tcPr>
            <w:tcW w:w="8617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5E9C630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Seitentyp-Umschaltungen sind explizite Policy-Entscheidungen; feste universelle Schwellwerte werden nicht behauptet.</w:t>
            </w:r>
          </w:p>
        </w:tc>
      </w:tr>
      <w:tr w:rsidR="00B65033" w:rsidRPr="001E6F9D" w14:paraId="489A871D" w14:textId="77777777" w:rsidTr="001E6F9D">
        <w:trPr>
          <w:jc w:val="center"/>
        </w:trPr>
        <w:tc>
          <w:tcPr>
            <w:tcW w:w="704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702C252" w14:textId="77777777" w:rsidR="00B65033" w:rsidRDefault="001542A2">
            <w:pPr>
              <w:spacing w:after="0"/>
            </w:pPr>
            <w:r>
              <w:rPr>
                <w:sz w:val="18"/>
              </w:rPr>
              <w:t>I6</w:t>
            </w:r>
          </w:p>
        </w:tc>
        <w:tc>
          <w:tcPr>
            <w:tcW w:w="8617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FE5A93F" w14:textId="77777777" w:rsidR="00B65033" w:rsidRPr="001E6F9D" w:rsidRDefault="001542A2">
            <w:pPr>
              <w:spacing w:after="0"/>
              <w:rPr>
                <w:lang w:val="de-DE"/>
              </w:rPr>
            </w:pPr>
            <w:proofErr w:type="spellStart"/>
            <w:r w:rsidRPr="001E6F9D">
              <w:rPr>
                <w:sz w:val="18"/>
                <w:lang w:val="de-DE"/>
              </w:rPr>
              <w:t>Concurrency</w:t>
            </w:r>
            <w:proofErr w:type="spellEnd"/>
            <w:r w:rsidRPr="001E6F9D">
              <w:rPr>
                <w:sz w:val="18"/>
                <w:lang w:val="de-DE"/>
              </w:rPr>
              <w:t xml:space="preserve"> bleibt im Kernumfang auf spätere Erweiterung begrenzt; Termin 2 fokussiert Single-Thread und Read-</w:t>
            </w:r>
            <w:proofErr w:type="spellStart"/>
            <w:r w:rsidRPr="001E6F9D">
              <w:rPr>
                <w:sz w:val="18"/>
                <w:lang w:val="de-DE"/>
              </w:rPr>
              <w:t>Scaling</w:t>
            </w:r>
            <w:proofErr w:type="spellEnd"/>
            <w:r w:rsidRPr="001E6F9D">
              <w:rPr>
                <w:sz w:val="18"/>
                <w:lang w:val="de-DE"/>
              </w:rPr>
              <w:t>-Vorbereitung.</w:t>
            </w:r>
          </w:p>
        </w:tc>
      </w:tr>
    </w:tbl>
    <w:p w14:paraId="6B3E4A56" w14:textId="77777777" w:rsidR="00B65033" w:rsidRPr="001E6F9D" w:rsidRDefault="00B65033">
      <w:pPr>
        <w:rPr>
          <w:lang w:val="de-DE"/>
        </w:rPr>
      </w:pPr>
    </w:p>
    <w:p w14:paraId="4FB6A72C" w14:textId="77777777" w:rsidR="00B65033" w:rsidRDefault="001542A2">
      <w:pPr>
        <w:pStyle w:val="berschrift1"/>
      </w:pPr>
      <w:r>
        <w:t>7. Risiken und bewusste Gegenmaßnahmen</w:t>
      </w:r>
    </w:p>
    <w:tbl>
      <w:tblPr>
        <w:tblW w:w="10209" w:type="dxa"/>
        <w:jc w:val="center"/>
        <w:tblBorders>
          <w:top w:val="single" w:sz="8" w:space="0" w:color="C7D1DE"/>
          <w:left w:val="single" w:sz="8" w:space="0" w:color="C7D1DE"/>
          <w:bottom w:val="single" w:sz="8" w:space="0" w:color="C7D1DE"/>
          <w:right w:val="single" w:sz="8" w:space="0" w:color="C7D1DE"/>
          <w:insideH w:val="single" w:sz="8" w:space="0" w:color="C7D1DE"/>
          <w:insideV w:val="single" w:sz="8" w:space="0" w:color="C7D1DE"/>
        </w:tblBorders>
        <w:tblLayout w:type="fixed"/>
        <w:tblLook w:val="04A0" w:firstRow="1" w:lastRow="0" w:firstColumn="1" w:lastColumn="0" w:noHBand="0" w:noVBand="1"/>
      </w:tblPr>
      <w:tblGrid>
        <w:gridCol w:w="2141"/>
        <w:gridCol w:w="3362"/>
        <w:gridCol w:w="4706"/>
      </w:tblGrid>
      <w:tr w:rsidR="00B65033" w14:paraId="62B4CDE5" w14:textId="77777777" w:rsidTr="00AE7FC4">
        <w:trPr>
          <w:jc w:val="center"/>
        </w:trPr>
        <w:tc>
          <w:tcPr>
            <w:tcW w:w="2141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82C69" w14:textId="77777777" w:rsidR="00B65033" w:rsidRDefault="001542A2">
            <w:pPr>
              <w:jc w:val="center"/>
            </w:pPr>
            <w:r>
              <w:rPr>
                <w:b/>
                <w:color w:val="162D4C"/>
                <w:sz w:val="18"/>
              </w:rPr>
              <w:t>Risiko</w:t>
            </w:r>
          </w:p>
        </w:tc>
        <w:tc>
          <w:tcPr>
            <w:tcW w:w="3362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C816C" w14:textId="77777777" w:rsidR="00B65033" w:rsidRDefault="001542A2">
            <w:pPr>
              <w:jc w:val="center"/>
            </w:pPr>
            <w:r>
              <w:rPr>
                <w:b/>
                <w:color w:val="162D4C"/>
                <w:sz w:val="18"/>
              </w:rPr>
              <w:t>Problem</w:t>
            </w:r>
          </w:p>
        </w:tc>
        <w:tc>
          <w:tcPr>
            <w:tcW w:w="4706" w:type="dxa"/>
            <w:shd w:val="clear" w:color="auto" w:fill="DCE6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DFECC" w14:textId="77777777" w:rsidR="00B65033" w:rsidRDefault="001542A2">
            <w:pPr>
              <w:jc w:val="center"/>
            </w:pPr>
            <w:proofErr w:type="spellStart"/>
            <w:r>
              <w:rPr>
                <w:b/>
                <w:color w:val="162D4C"/>
                <w:sz w:val="18"/>
              </w:rPr>
              <w:t>Gegenmaßnahme</w:t>
            </w:r>
            <w:proofErr w:type="spellEnd"/>
          </w:p>
        </w:tc>
      </w:tr>
      <w:tr w:rsidR="00B65033" w:rsidRPr="001E6F9D" w14:paraId="11AC27CC" w14:textId="77777777" w:rsidTr="00AE7FC4">
        <w:trPr>
          <w:jc w:val="center"/>
        </w:trPr>
        <w:tc>
          <w:tcPr>
            <w:tcW w:w="2141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D4BB8B6" w14:textId="77777777" w:rsidR="00B65033" w:rsidRDefault="001542A2">
            <w:pPr>
              <w:spacing w:after="0"/>
            </w:pPr>
            <w:r>
              <w:rPr>
                <w:sz w:val="18"/>
              </w:rPr>
              <w:t>Framework-Explosion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F9F4E2" w14:textId="77777777" w:rsidR="00B65033" w:rsidRDefault="001542A2">
            <w:pPr>
              <w:spacing w:after="0"/>
            </w:pPr>
            <w:r>
              <w:rPr>
                <w:sz w:val="18"/>
              </w:rPr>
              <w:t xml:space="preserve">Zu </w:t>
            </w:r>
            <w:proofErr w:type="spellStart"/>
            <w:r>
              <w:rPr>
                <w:sz w:val="18"/>
              </w:rPr>
              <w:t>viele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kombinierbare</w:t>
            </w:r>
            <w:proofErr w:type="spellEnd"/>
            <w:r>
              <w:rPr>
                <w:sz w:val="18"/>
              </w:rPr>
              <w:t xml:space="preserve"> Features</w:t>
            </w:r>
          </w:p>
        </w:tc>
        <w:tc>
          <w:tcPr>
            <w:tcW w:w="4706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C3468FA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 xml:space="preserve">Kern auf fünf Seitentypen, </w:t>
            </w:r>
            <w:proofErr w:type="spellStart"/>
            <w:r w:rsidRPr="001E6F9D">
              <w:rPr>
                <w:sz w:val="18"/>
                <w:lang w:val="de-DE"/>
              </w:rPr>
              <w:t>ValueHandle</w:t>
            </w:r>
            <w:proofErr w:type="spellEnd"/>
            <w:r w:rsidRPr="001E6F9D">
              <w:rPr>
                <w:sz w:val="18"/>
                <w:lang w:val="de-DE"/>
              </w:rPr>
              <w:t>, Ordnungsmodus und Cache-Engine begrenzen.</w:t>
            </w:r>
          </w:p>
        </w:tc>
      </w:tr>
      <w:tr w:rsidR="00B65033" w:rsidRPr="001E6F9D" w14:paraId="484A605B" w14:textId="77777777" w:rsidTr="00AE7FC4">
        <w:trPr>
          <w:jc w:val="center"/>
        </w:trPr>
        <w:tc>
          <w:tcPr>
            <w:tcW w:w="214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7F82F2" w14:textId="77777777" w:rsidR="00B65033" w:rsidRDefault="001542A2">
            <w:pPr>
              <w:spacing w:after="0"/>
            </w:pPr>
            <w:proofErr w:type="spellStart"/>
            <w:r>
              <w:rPr>
                <w:sz w:val="18"/>
              </w:rPr>
              <w:t>Architekturabhängigkeit</w:t>
            </w:r>
            <w:proofErr w:type="spellEnd"/>
          </w:p>
        </w:tc>
        <w:tc>
          <w:tcPr>
            <w:tcW w:w="336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ACF3C7A" w14:textId="77777777" w:rsidR="00B65033" w:rsidRDefault="001542A2">
            <w:pPr>
              <w:spacing w:after="0"/>
            </w:pPr>
            <w:proofErr w:type="spellStart"/>
            <w:r>
              <w:rPr>
                <w:sz w:val="18"/>
              </w:rPr>
              <w:t>Schwellwerte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kippen</w:t>
            </w:r>
            <w:proofErr w:type="spellEnd"/>
            <w:r>
              <w:rPr>
                <w:sz w:val="18"/>
              </w:rPr>
              <w:t xml:space="preserve"> je CPU</w:t>
            </w:r>
          </w:p>
        </w:tc>
        <w:tc>
          <w:tcPr>
            <w:tcW w:w="470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B5007DB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Hardwareprofile und Messkalibrierung statt universeller Konstanten.</w:t>
            </w:r>
          </w:p>
        </w:tc>
      </w:tr>
      <w:tr w:rsidR="00B65033" w:rsidRPr="001E6F9D" w14:paraId="13B130D1" w14:textId="77777777" w:rsidTr="00AE7FC4">
        <w:trPr>
          <w:jc w:val="center"/>
        </w:trPr>
        <w:tc>
          <w:tcPr>
            <w:tcW w:w="2141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85F7060" w14:textId="77777777" w:rsidR="00B65033" w:rsidRDefault="001542A2">
            <w:pPr>
              <w:spacing w:after="0"/>
            </w:pPr>
            <w:r>
              <w:rPr>
                <w:sz w:val="18"/>
              </w:rPr>
              <w:t xml:space="preserve">Zu </w:t>
            </w:r>
            <w:proofErr w:type="spellStart"/>
            <w:r>
              <w:rPr>
                <w:sz w:val="18"/>
              </w:rPr>
              <w:t>komplexe</w:t>
            </w:r>
            <w:proofErr w:type="spellEnd"/>
            <w:r>
              <w:rPr>
                <w:sz w:val="18"/>
              </w:rPr>
              <w:t xml:space="preserve"> Cache-Engine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067139A" w14:textId="77777777" w:rsidR="00B65033" w:rsidRDefault="001542A2">
            <w:pPr>
              <w:spacing w:after="0"/>
            </w:pPr>
            <w:r>
              <w:rPr>
                <w:sz w:val="18"/>
              </w:rPr>
              <w:t>Entwurf wird unimplementierbar</w:t>
            </w:r>
          </w:p>
        </w:tc>
        <w:tc>
          <w:tcPr>
            <w:tcW w:w="4706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D67D707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Termin 2 nur als Entscheidungsgerüst; numerische Kalibrierung auf Termin 3 verschieben.</w:t>
            </w:r>
          </w:p>
        </w:tc>
      </w:tr>
      <w:tr w:rsidR="00B65033" w:rsidRPr="001E6F9D" w14:paraId="5C596647" w14:textId="77777777" w:rsidTr="00AE7FC4">
        <w:trPr>
          <w:jc w:val="center"/>
        </w:trPr>
        <w:tc>
          <w:tcPr>
            <w:tcW w:w="2141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FAA6C6A" w14:textId="77777777" w:rsidR="00B65033" w:rsidRDefault="001542A2">
            <w:pPr>
              <w:spacing w:after="0"/>
            </w:pPr>
            <w:r>
              <w:rPr>
                <w:sz w:val="18"/>
              </w:rPr>
              <w:t>Inline-Value-</w:t>
            </w:r>
            <w:proofErr w:type="spellStart"/>
            <w:r>
              <w:rPr>
                <w:sz w:val="18"/>
              </w:rPr>
              <w:t>Fehlannahmen</w:t>
            </w:r>
            <w:proofErr w:type="spellEnd"/>
          </w:p>
        </w:tc>
        <w:tc>
          <w:tcPr>
            <w:tcW w:w="3362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80DD19D" w14:textId="77777777" w:rsidR="00B65033" w:rsidRDefault="001542A2">
            <w:pPr>
              <w:spacing w:after="0"/>
            </w:pPr>
            <w:r>
              <w:rPr>
                <w:sz w:val="18"/>
              </w:rPr>
              <w:t>Payload sprengt Cache-Line-Ziele</w:t>
            </w:r>
          </w:p>
        </w:tc>
        <w:tc>
          <w:tcPr>
            <w:tcW w:w="4706" w:type="dxa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52F22DD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Inline nur als messbare Policy, nicht als Default.</w:t>
            </w:r>
          </w:p>
        </w:tc>
      </w:tr>
      <w:tr w:rsidR="00B65033" w:rsidRPr="001E6F9D" w14:paraId="405348D3" w14:textId="77777777" w:rsidTr="00AE7FC4">
        <w:trPr>
          <w:jc w:val="center"/>
        </w:trPr>
        <w:tc>
          <w:tcPr>
            <w:tcW w:w="2141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B5A481" w14:textId="77777777" w:rsidR="00B65033" w:rsidRDefault="001542A2">
            <w:pPr>
              <w:spacing w:after="0"/>
            </w:pPr>
            <w:r>
              <w:rPr>
                <w:sz w:val="18"/>
              </w:rPr>
              <w:t>Concurrency-Scope</w:t>
            </w:r>
          </w:p>
        </w:tc>
        <w:tc>
          <w:tcPr>
            <w:tcW w:w="3362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F74EC97" w14:textId="77777777" w:rsidR="00B65033" w:rsidRDefault="001542A2">
            <w:pPr>
              <w:spacing w:after="0"/>
            </w:pPr>
            <w:r>
              <w:rPr>
                <w:sz w:val="18"/>
              </w:rPr>
              <w:t>Kernfrage verwässert</w:t>
            </w:r>
          </w:p>
        </w:tc>
        <w:tc>
          <w:tcPr>
            <w:tcW w:w="4706" w:type="dxa"/>
            <w:shd w:val="clear" w:color="auto" w:fill="FAFCFE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3A51CEC" w14:textId="77777777" w:rsidR="00B65033" w:rsidRPr="001E6F9D" w:rsidRDefault="001542A2">
            <w:pPr>
              <w:spacing w:after="0"/>
              <w:rPr>
                <w:lang w:val="de-DE"/>
              </w:rPr>
            </w:pPr>
            <w:r w:rsidRPr="001E6F9D">
              <w:rPr>
                <w:sz w:val="18"/>
                <w:lang w:val="de-DE"/>
              </w:rPr>
              <w:t>Observer-/Visitor-Stellen notieren, aber Multi-Writer nicht im Kernumfang.</w:t>
            </w:r>
          </w:p>
        </w:tc>
      </w:tr>
    </w:tbl>
    <w:p w14:paraId="561D9E3E" w14:textId="77777777" w:rsidR="00B65033" w:rsidRPr="001E6F9D" w:rsidRDefault="001542A2">
      <w:pPr>
        <w:pStyle w:val="berschrift1"/>
        <w:rPr>
          <w:lang w:val="de-DE"/>
        </w:rPr>
      </w:pPr>
      <w:r w:rsidRPr="001E6F9D">
        <w:rPr>
          <w:lang w:val="de-DE"/>
        </w:rPr>
        <w:t>8. Was Termin 3 beantworten muss</w:t>
      </w:r>
    </w:p>
    <w:p w14:paraId="494C9753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>Welche Datenmengen, Präfixentropien und Key-Längen werden Pflichtfälle im Benchmark?</w:t>
      </w:r>
    </w:p>
    <w:p w14:paraId="1A562D16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lastRenderedPageBreak/>
        <w:t xml:space="preserve">• </w:t>
      </w:r>
      <w:r w:rsidRPr="001E6F9D">
        <w:rPr>
          <w:lang w:val="de-DE"/>
        </w:rPr>
        <w:t>Welche Baselines werden tatsächlich implementiert: mindestens ART, HOT, eine cache-sensitive B+-Variante und eine einfache B+-/Hash-Referenz?</w:t>
      </w:r>
    </w:p>
    <w:p w14:paraId="770C67FA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 xml:space="preserve">Wie wird die Cache-Engine kalibriert: </w:t>
      </w:r>
      <w:proofErr w:type="spellStart"/>
      <w:r w:rsidRPr="001E6F9D">
        <w:rPr>
          <w:lang w:val="de-DE"/>
        </w:rPr>
        <w:t>perf</w:t>
      </w:r>
      <w:proofErr w:type="spellEnd"/>
      <w:r w:rsidRPr="001E6F9D">
        <w:rPr>
          <w:lang w:val="de-DE"/>
        </w:rPr>
        <w:t xml:space="preserve">, Intel </w:t>
      </w:r>
      <w:proofErr w:type="spellStart"/>
      <w:r w:rsidRPr="001E6F9D">
        <w:rPr>
          <w:lang w:val="de-DE"/>
        </w:rPr>
        <w:t>Advisor</w:t>
      </w:r>
      <w:proofErr w:type="spellEnd"/>
      <w:r w:rsidRPr="001E6F9D">
        <w:rPr>
          <w:lang w:val="de-DE"/>
        </w:rPr>
        <w:t xml:space="preserve"> MAP/</w:t>
      </w:r>
      <w:proofErr w:type="spellStart"/>
      <w:r w:rsidRPr="001E6F9D">
        <w:rPr>
          <w:lang w:val="de-DE"/>
        </w:rPr>
        <w:t>Roofline</w:t>
      </w:r>
      <w:proofErr w:type="spellEnd"/>
      <w:r w:rsidRPr="001E6F9D">
        <w:rPr>
          <w:lang w:val="de-DE"/>
        </w:rPr>
        <w:t>, gezielte Mikrobenchmarks je Seitentyp?</w:t>
      </w:r>
    </w:p>
    <w:p w14:paraId="31FDCA7F" w14:textId="77777777" w:rsidR="00B65033" w:rsidRPr="001E6F9D" w:rsidRDefault="001542A2">
      <w:pPr>
        <w:spacing w:after="20"/>
        <w:ind w:left="312" w:hanging="198"/>
        <w:rPr>
          <w:lang w:val="de-DE"/>
        </w:rPr>
      </w:pPr>
      <w:r w:rsidRPr="001E6F9D">
        <w:rPr>
          <w:b/>
          <w:lang w:val="de-DE"/>
        </w:rPr>
        <w:t xml:space="preserve">• </w:t>
      </w:r>
      <w:r w:rsidRPr="001E6F9D">
        <w:rPr>
          <w:lang w:val="de-DE"/>
        </w:rPr>
        <w:t>Welche Fairnessregeln gelten für Inline-Werte, lokale Ordnung und hardwareabhängige ISA-Pfade?</w:t>
      </w:r>
    </w:p>
    <w:sectPr w:rsidR="00B65033" w:rsidRPr="001E6F9D" w:rsidSect="00034616"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067020">
    <w:abstractNumId w:val="8"/>
  </w:num>
  <w:num w:numId="2" w16cid:durableId="139032367">
    <w:abstractNumId w:val="6"/>
  </w:num>
  <w:num w:numId="3" w16cid:durableId="1432161233">
    <w:abstractNumId w:val="5"/>
  </w:num>
  <w:num w:numId="4" w16cid:durableId="790981405">
    <w:abstractNumId w:val="4"/>
  </w:num>
  <w:num w:numId="5" w16cid:durableId="1575044765">
    <w:abstractNumId w:val="7"/>
  </w:num>
  <w:num w:numId="6" w16cid:durableId="142087053">
    <w:abstractNumId w:val="3"/>
  </w:num>
  <w:num w:numId="7" w16cid:durableId="484666640">
    <w:abstractNumId w:val="2"/>
  </w:num>
  <w:num w:numId="8" w16cid:durableId="485777939">
    <w:abstractNumId w:val="1"/>
  </w:num>
  <w:num w:numId="9" w16cid:durableId="160762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2A2"/>
    <w:rsid w:val="001E6F9D"/>
    <w:rsid w:val="0029639D"/>
    <w:rsid w:val="00326F90"/>
    <w:rsid w:val="009F3941"/>
    <w:rsid w:val="00AA1D8D"/>
    <w:rsid w:val="00AE7FC4"/>
    <w:rsid w:val="00B47730"/>
    <w:rsid w:val="00B650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E65EF"/>
  <w14:defaultImageDpi w14:val="300"/>
  <w15:docId w15:val="{B4B43E4B-DC9E-41BD-8878-90C51A8A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40" w:lineRule="auto"/>
    </w:pPr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62D4C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1D4E89"/>
      <w:sz w:val="23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557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60"/>
      <w:contextualSpacing/>
    </w:pPr>
    <w:rPr>
      <w:rFonts w:asciiTheme="majorHAnsi" w:eastAsiaTheme="majorEastAsia" w:hAnsiTheme="majorHAnsi" w:cstheme="majorBidi"/>
      <w:b/>
      <w:color w:val="162D4C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6270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4850</Characters>
  <Application>Microsoft Office Word</Application>
  <DocSecurity>0</DocSecurity>
  <Lines>121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3</cp:revision>
  <dcterms:created xsi:type="dcterms:W3CDTF">2013-12-23T23:15:00Z</dcterms:created>
  <dcterms:modified xsi:type="dcterms:W3CDTF">2026-04-09T06:53:00Z</dcterms:modified>
  <cp:category/>
</cp:coreProperties>
</file>