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B07F" w14:textId="77777777" w:rsidR="006F49D0" w:rsidRPr="00AB2145" w:rsidRDefault="001C5268">
      <w:pPr>
        <w:pStyle w:val="Titel"/>
        <w:rPr>
          <w:lang w:val="de-DE"/>
        </w:rPr>
      </w:pPr>
      <w:r w:rsidRPr="00AB2145">
        <w:rPr>
          <w:lang w:val="de-DE"/>
        </w:rPr>
        <w:t>Ausarbeitung Termin 3</w:t>
      </w:r>
    </w:p>
    <w:p w14:paraId="7AADFA0F" w14:textId="77777777" w:rsidR="006F49D0" w:rsidRPr="00AB2145" w:rsidRDefault="001C5268">
      <w:pPr>
        <w:pStyle w:val="Untertitel"/>
        <w:rPr>
          <w:lang w:val="de-DE"/>
        </w:rPr>
      </w:pPr>
      <w:r w:rsidRPr="00AB2145">
        <w:rPr>
          <w:lang w:val="de-DE"/>
        </w:rPr>
        <w:t>PRT-ART | Benchmark-, Datensatz- und Messplan mit Baseline-Katalog und Fairnessregeln</w:t>
      </w:r>
    </w:p>
    <w:p w14:paraId="7F5F1073" w14:textId="77777777" w:rsidR="006F49D0" w:rsidRDefault="001C5268">
      <w:pPr>
        <w:pStyle w:val="SmallNote"/>
      </w:pPr>
      <w:r>
        <w:t>Stand: 09.04.2026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F49D0" w:rsidRPr="00AB2145" w14:paraId="11B6F5B1" w14:textId="77777777"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D07077B" w14:textId="77777777" w:rsidR="006F49D0" w:rsidRPr="00AB2145" w:rsidRDefault="001C5268">
            <w:pPr>
              <w:pStyle w:val="BoxText"/>
              <w:rPr>
                <w:lang w:val="de-DE"/>
              </w:rPr>
            </w:pPr>
            <w:r w:rsidRPr="00AB2145">
              <w:rPr>
                <w:b/>
                <w:color w:val="1F4E79"/>
                <w:lang w:val="de-DE"/>
              </w:rPr>
              <w:t xml:space="preserve">Arbeitsdefinition. </w:t>
            </w:r>
            <w:r w:rsidRPr="00AB2145">
              <w:rPr>
                <w:lang w:val="de-DE"/>
              </w:rPr>
              <w:t>Termin 3 beantwortet nicht mehr, wie PRT-ART gebaut wird, sondern wie PRT-ART gegen andere Algorithmen belastbar gemessen wird: reproduzierbar, plattformbewusst und ohne unfairen Baseline-Vorteil.</w:t>
            </w:r>
          </w:p>
        </w:tc>
      </w:tr>
    </w:tbl>
    <w:p w14:paraId="32FC5274" w14:textId="77777777" w:rsidR="006F49D0" w:rsidRPr="00AB2145" w:rsidRDefault="006F49D0">
      <w:pPr>
        <w:rPr>
          <w:lang w:val="de-DE"/>
        </w:rPr>
      </w:pPr>
    </w:p>
    <w:p w14:paraId="14F40D1A" w14:textId="77777777" w:rsidR="006F49D0" w:rsidRPr="00AB2145" w:rsidRDefault="001C5268">
      <w:pPr>
        <w:pStyle w:val="berschrift1"/>
        <w:rPr>
          <w:lang w:val="de-DE"/>
        </w:rPr>
      </w:pPr>
      <w:r w:rsidRPr="00AB2145">
        <w:rPr>
          <w:lang w:val="de-DE"/>
        </w:rPr>
        <w:t>1. Zielbild und Scope von Termin 3</w:t>
      </w:r>
    </w:p>
    <w:p w14:paraId="71A75391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Primäres Ziel: </w:t>
      </w:r>
      <w:r w:rsidRPr="00AB2145">
        <w:rPr>
          <w:lang w:val="de-DE"/>
        </w:rPr>
        <w:t>ein statischer Benchmarkkorridor für PRT-ART und die Pflichtbaselines auf festen Datensätzen, festen Workloads und festen Metriken.</w:t>
      </w:r>
    </w:p>
    <w:p w14:paraId="3B3DD990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Keine Scope-Verschiebung: </w:t>
      </w:r>
      <w:r w:rsidRPr="00AB2145">
        <w:rPr>
          <w:lang w:val="de-DE"/>
        </w:rPr>
        <w:t>Termin 3 baut auf Termin 2 auf. Architekturfragen werden nur noch insoweit nachgeschärft, wie sie Messbarkeit, Fairness oder Plattformintegration betreffen.</w:t>
      </w:r>
    </w:p>
    <w:p w14:paraId="4ED034C4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Kernfrage: </w:t>
      </w:r>
      <w:r w:rsidRPr="00AB2145">
        <w:rPr>
          <w:lang w:val="de-DE"/>
        </w:rPr>
        <w:t>welche Kombination aus Seitentypwahl, Cache-Engine, Ordnungsmodus, Inline-Umschaltung und ISA-Pfad liefert unter identischen Bedingungen die beste Zielgröße für Exact-, Prefix- und Enumerationsworkloads?</w:t>
      </w:r>
    </w:p>
    <w:p w14:paraId="248519AC" w14:textId="77777777" w:rsidR="006F49D0" w:rsidRDefault="001C5268">
      <w:pPr>
        <w:pStyle w:val="berschrift1"/>
      </w:pPr>
      <w:r>
        <w:t>2. Plattformmatrix und ISA-Politik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98"/>
        <w:gridCol w:w="3288"/>
        <w:gridCol w:w="2835"/>
        <w:gridCol w:w="1701"/>
      </w:tblGrid>
      <w:tr w:rsidR="006F49D0" w14:paraId="3C6C298C" w14:textId="77777777">
        <w:trPr>
          <w:jc w:val="center"/>
        </w:trPr>
        <w:tc>
          <w:tcPr>
            <w:tcW w:w="209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6A67D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Plattform</w:t>
            </w:r>
          </w:p>
        </w:tc>
        <w:tc>
          <w:tcPr>
            <w:tcW w:w="328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DDC6E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Architekturprofil</w:t>
            </w:r>
          </w:p>
        </w:tc>
        <w:tc>
          <w:tcPr>
            <w:tcW w:w="2835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E4BB0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Verpflichtender Messmodus</w:t>
            </w:r>
          </w:p>
        </w:tc>
        <w:tc>
          <w:tcPr>
            <w:tcW w:w="170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4A9614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Besonderheit</w:t>
            </w:r>
          </w:p>
        </w:tc>
      </w:tr>
      <w:tr w:rsidR="006F49D0" w:rsidRPr="00AB2145" w14:paraId="7A1B85E2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2C71D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Lokal: Intel Core i7-1270P (Nutzerangabe)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1D628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Hybrid CPU, Vanilla + AVX2, getrennte P-/E-Cores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A8BD8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Single P, Single E, All-P, All-E; perf cpu_core/* und cpu_atom/* getrennt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B3C864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Ideal für Entwicklung, Hybrid-Counter und ISA-Umschaltlogik</w:t>
            </w:r>
          </w:p>
        </w:tc>
      </w:tr>
      <w:tr w:rsidR="006F49D0" w:rsidRPr="00AB2145" w14:paraId="6A229261" w14:textId="77777777">
        <w:trPr>
          <w:jc w:val="center"/>
        </w:trPr>
        <w:tc>
          <w:tcPr>
            <w:tcW w:w="209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C1BFA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ZIH Barnard</w:t>
            </w:r>
          </w:p>
        </w:tc>
        <w:tc>
          <w:tcPr>
            <w:tcW w:w="328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F9F67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2× Intel Xeon Platinum 8470 pro Node, Sapphire Rapids, AVX-512-fähig, 512 GiB RAM</w:t>
            </w:r>
          </w:p>
        </w:tc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706F3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homogene Serverkerne, Scalar/AVX2/AVX-512, Batchläufe via Slurm</w:t>
            </w:r>
          </w:p>
        </w:tc>
        <w:tc>
          <w:tcPr>
            <w:tcW w:w="170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6ADB3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Skalierende Referenzplattform für den AVX-512-Zweig</w:t>
            </w:r>
          </w:p>
        </w:tc>
      </w:tr>
    </w:tbl>
    <w:p w14:paraId="4B5671B9" w14:textId="77777777" w:rsidR="006F49D0" w:rsidRPr="00AB2145" w:rsidRDefault="006F49D0">
      <w:pPr>
        <w:rPr>
          <w:lang w:val="de-DE"/>
        </w:rPr>
      </w:pPr>
    </w:p>
    <w:p w14:paraId="4E55A1EB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Build-Matrix: </w:t>
      </w:r>
      <w:r w:rsidRPr="00AB2145">
        <w:rPr>
          <w:lang w:val="de-DE"/>
        </w:rPr>
        <w:t>je Plattform werden mindestens ein Scalar-Build, ein AVX2-Build und – auf Barnard – ein AVX-512-Build vorbereitet. Feature-Erkennung erfolgt beim Build, Auswahl und Kennzeichnung des aktiven Pfades im Harness zur Laufzeit.</w:t>
      </w:r>
    </w:p>
    <w:p w14:paraId="46319ACC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Hybrid-Regel lokal: </w:t>
      </w:r>
      <w:r w:rsidRPr="00AB2145">
        <w:rPr>
          <w:lang w:val="de-DE"/>
        </w:rPr>
        <w:t>P- und E-Cores werden nicht zusammenaggregiert. perf dokumentiert dafür getrennte PMUs cpu_core und cpu_atom; gruppierte Events über beide PMUs werden vermieden.</w:t>
      </w:r>
    </w:p>
    <w:p w14:paraId="780C698F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Advisor-Regel: </w:t>
      </w:r>
      <w:r w:rsidRPr="00AB2145">
        <w:rPr>
          <w:lang w:val="de-DE"/>
        </w:rPr>
        <w:t>für repräsentative Kernschleifen wird Memory Access Patterns mit Cache-Simulation gefahren; Zielgrößen sind Cache Line Utilization, Simulated Memory Footprint und modellierte Miss-Information.</w:t>
      </w:r>
    </w:p>
    <w:p w14:paraId="0F3A90E8" w14:textId="77777777" w:rsidR="006F49D0" w:rsidRDefault="001C5268">
      <w:pPr>
        <w:pStyle w:val="berschrift1"/>
      </w:pPr>
      <w:r>
        <w:t>3. Datensatzkatalog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2608"/>
        <w:gridCol w:w="2891"/>
        <w:gridCol w:w="2268"/>
      </w:tblGrid>
      <w:tr w:rsidR="006F49D0" w14:paraId="70CDD449" w14:textId="77777777">
        <w:trPr>
          <w:jc w:val="center"/>
        </w:trPr>
        <w:tc>
          <w:tcPr>
            <w:tcW w:w="113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D5D4CB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Datensatz</w:t>
            </w:r>
          </w:p>
        </w:tc>
        <w:tc>
          <w:tcPr>
            <w:tcW w:w="260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158A6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Charakteristik</w:t>
            </w:r>
          </w:p>
        </w:tc>
        <w:tc>
          <w:tcPr>
            <w:tcW w:w="289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C2972C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Warum Pflicht?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2E35AB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Vorverarbeitung</w:t>
            </w:r>
          </w:p>
        </w:tc>
      </w:tr>
      <w:tr w:rsidR="006F49D0" w:rsidRPr="00AB2145" w14:paraId="0B4430B3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5D567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url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E8A503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sehr lange Schlüssel, lange LCPs, mittleres Alphabet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F40B4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Stress für Redirects, Präfixkollabierung und Cache-Lokalität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2005A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newline-basierte Keys, Byte-Encoding, optionale Payload-Zuordnung</w:t>
            </w:r>
          </w:p>
        </w:tc>
      </w:tr>
      <w:tr w:rsidR="006F49D0" w:rsidRPr="00AB2145" w14:paraId="4390B216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CF8C0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dna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FC0A7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kleines Alphabet, sehr große Datenmenge, hohe Wiederholung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7EBDE1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maximaler Test für Präfix-Entropie und tiefe Trie-Strukturen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473A34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wie Quelle, zusätzlich Teilmengen für schnelle Mikrobenchmarks</w:t>
            </w:r>
          </w:p>
        </w:tc>
      </w:tr>
      <w:tr w:rsidR="006F49D0" w:rsidRPr="00AB2145" w14:paraId="55DC4B64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0CBDA0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tpcds-id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36F7B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datenbanknahe IDs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6878AE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relevanter Gegenpol zu textartigen und biologischen Daten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EA917E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kanonische Sortier- und unsortierte Version</w:t>
            </w:r>
          </w:p>
        </w:tc>
      </w:tr>
      <w:tr w:rsidR="006F49D0" w14:paraId="516E96BB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51324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trec-terms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FC47CA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Term-/Suchindex-artige Wörter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ABFAA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Exact-/Prefix-Verhalten bei realen Wörterbüchern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77A7D5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Dedup, definierte Miss-Keys</w:t>
            </w:r>
          </w:p>
        </w:tc>
      </w:tr>
      <w:tr w:rsidR="006F49D0" w14:paraId="36654ED6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99638B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lastRenderedPageBreak/>
              <w:t>protein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C9CA6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biologische Sequenzen, kleines bis mittleres Alphabet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6234EA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Gegenpol zu DNA und textlastigen Daten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4E015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kanonische Byte-Key-Version</w:t>
            </w:r>
          </w:p>
        </w:tc>
      </w:tr>
      <w:tr w:rsidR="006F49D0" w14:paraId="3E3371DE" w14:textId="77777777">
        <w:trPr>
          <w:jc w:val="center"/>
        </w:trPr>
        <w:tc>
          <w:tcPr>
            <w:tcW w:w="11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8E2CF9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xml</w:t>
            </w:r>
          </w:p>
        </w:tc>
        <w:tc>
          <w:tcPr>
            <w:tcW w:w="260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0465D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strukturierte Strings mit wiederkehrenden Präfixen</w:t>
            </w:r>
          </w:p>
        </w:tc>
        <w:tc>
          <w:tcPr>
            <w:tcW w:w="28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784BEF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wichtig für Präfix- und Enumerationspfade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05C3BF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kanonische Byte-Key-Version</w:t>
            </w:r>
          </w:p>
        </w:tc>
      </w:tr>
    </w:tbl>
    <w:p w14:paraId="56A438AC" w14:textId="77777777" w:rsidR="006F49D0" w:rsidRDefault="006F49D0"/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5102"/>
        <w:gridCol w:w="1191"/>
      </w:tblGrid>
      <w:tr w:rsidR="006F49D0" w14:paraId="5E920B90" w14:textId="77777777">
        <w:trPr>
          <w:jc w:val="center"/>
        </w:trPr>
        <w:tc>
          <w:tcPr>
            <w:tcW w:w="2835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F1551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Erweiterungskandidaten</w:t>
            </w:r>
          </w:p>
        </w:tc>
        <w:tc>
          <w:tcPr>
            <w:tcW w:w="510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1C7C6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Quelle/Begründung</w:t>
            </w:r>
          </w:p>
        </w:tc>
        <w:tc>
          <w:tcPr>
            <w:tcW w:w="119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D9E0CE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Status</w:t>
            </w:r>
          </w:p>
        </w:tc>
      </w:tr>
      <w:tr w:rsidR="006F49D0" w14:paraId="39B4D55D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26D27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enwiki-titles, aol-queries, uk-2002, webbase-2001, synthetic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B242D7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aus der 2024er Arbeit zu massiven String Dictionaries; geeignet zur Erweiterung des CoCo-Portfolios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BB0B80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nachgelagert</w:t>
            </w:r>
          </w:p>
        </w:tc>
      </w:tr>
      <w:tr w:rsidR="006F49D0" w14:paraId="0C622A9C" w14:textId="77777777">
        <w:trPr>
          <w:jc w:val="center"/>
        </w:trPr>
        <w:tc>
          <w:tcPr>
            <w:tcW w:w="283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6A1C89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Pizza&amp;Chili DNA / protein / xml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D5A61D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sekundäre, frei verfügbare Referenzquellen für kleinere oder alternative Teilmengen</w:t>
            </w:r>
          </w:p>
        </w:tc>
        <w:tc>
          <w:tcPr>
            <w:tcW w:w="119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2610D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optional als Zusatz-/Validierungssatz</w:t>
            </w:r>
          </w:p>
        </w:tc>
      </w:tr>
    </w:tbl>
    <w:p w14:paraId="2D0951F4" w14:textId="77777777" w:rsidR="006F49D0" w:rsidRDefault="006F49D0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6F49D0" w:rsidRPr="00AB2145" w14:paraId="7BB614D4" w14:textId="77777777">
        <w:trPr>
          <w:jc w:val="center"/>
        </w:trPr>
        <w:tc>
          <w:tcPr>
            <w:tcW w:w="9972" w:type="dxa"/>
            <w:shd w:val="clear" w:color="auto" w:fill="F7F9FC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999C8B8" w14:textId="77777777" w:rsidR="006F49D0" w:rsidRPr="00AB2145" w:rsidRDefault="001C5268">
            <w:pPr>
              <w:pStyle w:val="BoxText"/>
              <w:rPr>
                <w:lang w:val="de-DE"/>
              </w:rPr>
            </w:pPr>
            <w:r w:rsidRPr="00AB2145">
              <w:rPr>
                <w:b/>
                <w:color w:val="1F4E79"/>
                <w:lang w:val="de-DE"/>
              </w:rPr>
              <w:t xml:space="preserve">Reproduzierbarkeitsregel. </w:t>
            </w:r>
            <w:r w:rsidRPr="00AB2145">
              <w:rPr>
                <w:lang w:val="de-DE"/>
              </w:rPr>
              <w:t>Jeder Datensatz erhält eine Akte: Originalquelle, Downloadskript, Prüfsumme, Zeilenanzahl, Bytevolumen, Vorverarbeitung, Sortierzustand, Payload-Generator und Seed-Regel für synthetische Miss-/Update-/Delete-Schlüssel.</w:t>
            </w:r>
          </w:p>
        </w:tc>
      </w:tr>
    </w:tbl>
    <w:p w14:paraId="134A0EFE" w14:textId="77777777" w:rsidR="006F49D0" w:rsidRPr="00AB2145" w:rsidRDefault="006F49D0">
      <w:pPr>
        <w:rPr>
          <w:lang w:val="de-DE"/>
        </w:rPr>
      </w:pPr>
    </w:p>
    <w:p w14:paraId="1B2DD10F" w14:textId="77777777" w:rsidR="006F49D0" w:rsidRDefault="001C5268">
      <w:pPr>
        <w:pStyle w:val="berschrift1"/>
      </w:pPr>
      <w:r>
        <w:t>4. Baseline-Katalog und Wrapper-Strategie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47"/>
        <w:gridCol w:w="3742"/>
        <w:gridCol w:w="1814"/>
        <w:gridCol w:w="2268"/>
      </w:tblGrid>
      <w:tr w:rsidR="006F49D0" w14:paraId="24E13A9C" w14:textId="77777777">
        <w:trPr>
          <w:jc w:val="center"/>
        </w:trPr>
        <w:tc>
          <w:tcPr>
            <w:tcW w:w="1247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B9FB6C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Baseline</w:t>
            </w:r>
          </w:p>
        </w:tc>
        <w:tc>
          <w:tcPr>
            <w:tcW w:w="374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EF494F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Referenzimplementierung</w:t>
            </w:r>
          </w:p>
        </w:tc>
        <w:tc>
          <w:tcPr>
            <w:tcW w:w="181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C24D5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Sprache/Build</w:t>
            </w:r>
          </w:p>
        </w:tc>
        <w:tc>
          <w:tcPr>
            <w:tcW w:w="2268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DBDA5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Termin-3-Status</w:t>
            </w:r>
          </w:p>
        </w:tc>
      </w:tr>
      <w:tr w:rsidR="006F49D0" w14:paraId="4EDE85E0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923A1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ART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CAEF13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libart; optional UnoDB als moderner C++-Gegencheck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295A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C99 / C++20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30047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Pflicht</w:t>
            </w:r>
          </w:p>
        </w:tc>
      </w:tr>
      <w:tr w:rsidR="006F49D0" w14:paraId="67A5FBB0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2B34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HOT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54B0B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speedskater/hot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FCB612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C++14/CMake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1988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Pflicht</w:t>
            </w:r>
          </w:p>
        </w:tc>
      </w:tr>
      <w:tr w:rsidR="006F49D0" w14:paraId="2568B6D4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B57E0E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Masstree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1C73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kohler/masstree-beta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53512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C++/autotools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41B925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Pflicht, sofern Build stabil</w:t>
            </w:r>
          </w:p>
        </w:tc>
      </w:tr>
      <w:tr w:rsidR="006F49D0" w14:paraId="35A13D04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ABC8E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B+-Baum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06FC0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habedi/bptree als leichter Primärpfad; embedded2016/bplus-tree als Alternativpfad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ABDC4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C/Make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2DC31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Pflicht</w:t>
            </w:r>
          </w:p>
        </w:tc>
      </w:tr>
      <w:tr w:rsidR="006F49D0" w14:paraId="692861B5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AE942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Hash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56904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absl::flat_hash_map und optional node_hash_map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A8CAD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C++/Bazel or CMake package integration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03BAF7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Pflicht</w:t>
            </w:r>
          </w:p>
        </w:tc>
      </w:tr>
      <w:tr w:rsidR="006F49D0" w14:paraId="7F101D79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93DA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START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FE6ABC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Papiernachbar ohne fest zugesagtes öffentliches Artefakt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5183F0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3F7FA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Literaturbaseline</w:t>
            </w:r>
          </w:p>
        </w:tc>
      </w:tr>
      <w:tr w:rsidR="006F49D0" w14:paraId="28B55196" w14:textId="77777777">
        <w:trPr>
          <w:jc w:val="center"/>
        </w:trPr>
        <w:tc>
          <w:tcPr>
            <w:tcW w:w="124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47B0EE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CSS-tree / CSB+-tree / B²-tree / CoCo-trie</w:t>
            </w:r>
          </w:p>
        </w:tc>
        <w:tc>
          <w:tcPr>
            <w:tcW w:w="374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B6B9B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Papier- bzw. Konzeptnachbarn</w:t>
            </w:r>
          </w:p>
        </w:tc>
        <w:tc>
          <w:tcPr>
            <w:tcW w:w="181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C0EA6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—</w:t>
            </w:r>
          </w:p>
        </w:tc>
        <w:tc>
          <w:tcPr>
            <w:tcW w:w="2268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ABB04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Literaturbaseline</w:t>
            </w:r>
          </w:p>
        </w:tc>
      </w:tr>
    </w:tbl>
    <w:p w14:paraId="4F07A5C2" w14:textId="77777777" w:rsidR="006F49D0" w:rsidRDefault="006F49D0"/>
    <w:p w14:paraId="736EDB24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Wrapper-Regel: </w:t>
      </w:r>
      <w:r w:rsidRPr="00AB2145">
        <w:rPr>
          <w:lang w:val="de-DE"/>
        </w:rPr>
        <w:t>Fremdalgorithmen werden nicht neu implementiert. Zulässig sind nur Build-Patches, Adapter, Mess-Hooks und ein gemeinsames Interface für Load/Get/Prefix/Scan/Insert/Delete, soweit vom Original unterstützt.</w:t>
      </w:r>
    </w:p>
    <w:p w14:paraId="7ED9E1D8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Funktionsparität: </w:t>
      </w:r>
      <w:r w:rsidRPr="00AB2145">
        <w:rPr>
          <w:lang w:val="de-DE"/>
        </w:rPr>
        <w:t>Operationen, die eine Baseline nicht unterstützt, werden als N/A ausgewiesen und nicht künstlich emuliert, wenn dadurch der Vergleich methodisch verzerrt würde.</w:t>
      </w:r>
    </w:p>
    <w:p w14:paraId="07BA1FB9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>
        <w:rPr>
          <w:b/>
        </w:rPr>
        <w:t xml:space="preserve">Hash-Vergleich: </w:t>
      </w:r>
      <w:r>
        <w:t xml:space="preserve">Hash-Baselines dienen primär Exact-Hit/Exact-Miss und Read-mostly Workloads. </w:t>
      </w:r>
      <w:r w:rsidRPr="00AB2145">
        <w:rPr>
          <w:lang w:val="de-DE"/>
        </w:rPr>
        <w:t>Prefix/Range bleiben dort nur dann im Messkorridor, wenn eine echte, faire Unterstützung vorliegt.</w:t>
      </w:r>
    </w:p>
    <w:p w14:paraId="0A5FA040" w14:textId="77777777" w:rsidR="006F49D0" w:rsidRDefault="001C5268">
      <w:pPr>
        <w:pStyle w:val="berschrift1"/>
      </w:pPr>
      <w:r>
        <w:t>5. Workload- und Policy-Matrix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6236"/>
      </w:tblGrid>
      <w:tr w:rsidR="006F49D0" w14:paraId="2520D840" w14:textId="77777777">
        <w:trPr>
          <w:jc w:val="center"/>
        </w:trPr>
        <w:tc>
          <w:tcPr>
            <w:tcW w:w="2381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9378E4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Achse</w:t>
            </w:r>
          </w:p>
        </w:tc>
        <w:tc>
          <w:tcPr>
            <w:tcW w:w="6236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17ACC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Pflichtwerte</w:t>
            </w:r>
          </w:p>
        </w:tc>
      </w:tr>
      <w:tr w:rsidR="006F49D0" w14:paraId="1D21C085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14D78D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lastRenderedPageBreak/>
              <w:t>Operationen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E474A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Bulk build, exact hit, exact miss, prefix hit, prefix miss, prefix enumeration, insert, update, delete</w:t>
            </w:r>
          </w:p>
        </w:tc>
      </w:tr>
      <w:tr w:rsidR="006F49D0" w14:paraId="7B0D7B30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3719A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YCSB-inspirierte Mischungen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9FF2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A (50/50), B (95/5), C (read only), D (latest), E (short ranges), F (read-modify-write) als methodische Vorlage</w:t>
            </w:r>
          </w:p>
        </w:tc>
      </w:tr>
      <w:tr w:rsidR="006F49D0" w14:paraId="24F4971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BD759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Ordnungsmodus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1555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unsortiert, lokal geordnet, lexikographisch</w:t>
            </w:r>
          </w:p>
        </w:tc>
      </w:tr>
      <w:tr w:rsidR="006F49D0" w14:paraId="7953CBCD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544F8D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Value-Modus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CAF08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inline, external handle</w:t>
            </w:r>
          </w:p>
        </w:tc>
      </w:tr>
      <w:tr w:rsidR="006F49D0" w:rsidRPr="00AB2145" w14:paraId="299B1352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E6818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ISA-Modus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C147F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scalar, AVX2, AVX-512 (wenn vorhanden)</w:t>
            </w:r>
          </w:p>
        </w:tc>
      </w:tr>
      <w:tr w:rsidR="006F49D0" w14:paraId="2BB446FF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0F9B2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Core-Modus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7F164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Single P, Single E, All-P, All-E, Barnard homogeneous</w:t>
            </w:r>
          </w:p>
        </w:tc>
      </w:tr>
      <w:tr w:rsidR="006F49D0" w:rsidRPr="00AB2145" w14:paraId="08413364" w14:textId="77777777">
        <w:trPr>
          <w:jc w:val="center"/>
        </w:trPr>
        <w:tc>
          <w:tcPr>
            <w:tcW w:w="2381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146AE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Wiederholungen</w:t>
            </w:r>
          </w:p>
        </w:tc>
        <w:tc>
          <w:tcPr>
            <w:tcW w:w="623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56AD40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5 Läufe je Konfiguration, Rohwerte getrennt</w:t>
            </w:r>
          </w:p>
        </w:tc>
      </w:tr>
    </w:tbl>
    <w:p w14:paraId="485D2D36" w14:textId="77777777" w:rsidR="006F49D0" w:rsidRPr="00AB2145" w:rsidRDefault="006F49D0">
      <w:pPr>
        <w:rPr>
          <w:lang w:val="de-DE"/>
        </w:rPr>
      </w:pPr>
    </w:p>
    <w:p w14:paraId="399C5F10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Overlay-/Fingerprint-Achse: </w:t>
      </w:r>
      <w:r w:rsidRPr="00AB2145">
        <w:rPr>
          <w:lang w:val="de-DE"/>
        </w:rPr>
        <w:t>plain byte keys bilden den Pflichtpfad. Zusätzliche Overlays (z. B. Rabin/Fingerprint-ähnliche Repräsentationen oder Digests) werden nur dann in den Kernbenchmark aufgenommen, wenn Ordnungserhaltung bzw. die zulässige Exact-only-Semantik explizit markiert ist.</w:t>
      </w:r>
    </w:p>
    <w:p w14:paraId="3EF7B89D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Permutationsregel: </w:t>
      </w:r>
      <w:r w:rsidRPr="00AB2145">
        <w:rPr>
          <w:lang w:val="de-DE"/>
        </w:rPr>
        <w:t>die Matrix darf groß sein. Trotzdem werden Kern- und Erweiterungsmatrix getrennt berichtet, damit Termin 4 einen verbindlichen Pflichtsatz fixieren kann.</w:t>
      </w:r>
    </w:p>
    <w:p w14:paraId="407223AB" w14:textId="77777777" w:rsidR="006F49D0" w:rsidRDefault="001C5268">
      <w:pPr>
        <w:pStyle w:val="berschrift1"/>
      </w:pPr>
      <w:r>
        <w:t>6. Metriken, Perf-Setup und Advisor-Setup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5102"/>
        <w:gridCol w:w="2324"/>
      </w:tblGrid>
      <w:tr w:rsidR="006F49D0" w14:paraId="6AAE87E3" w14:textId="77777777">
        <w:trPr>
          <w:jc w:val="center"/>
        </w:trPr>
        <w:tc>
          <w:tcPr>
            <w:tcW w:w="1757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CF3FA5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Ebene</w:t>
            </w:r>
          </w:p>
        </w:tc>
        <w:tc>
          <w:tcPr>
            <w:tcW w:w="5102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985B1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Pflichtmetriken</w:t>
            </w:r>
          </w:p>
        </w:tc>
        <w:tc>
          <w:tcPr>
            <w:tcW w:w="2324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1AAEBF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Werkzeug</w:t>
            </w:r>
          </w:p>
        </w:tc>
      </w:tr>
      <w:tr w:rsidR="006F49D0" w14:paraId="5DD80653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9FF9A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End-to-End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38CAD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Throughput, p50/p95/p99, Build-Zeit, Prefix-Enumeration-Kosten, Bytes pro Key/Value, Fragmentierung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C97D48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eigener Harness + HDR-Histogramme</w:t>
            </w:r>
          </w:p>
        </w:tc>
      </w:tr>
      <w:tr w:rsidR="006F49D0" w14:paraId="6466A40A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778FD2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Counter lokal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533D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cycles, instructions, branches, branch-misses, cache-misses, LLC-load-misses, dTLB-load-misses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1D288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perf stat JSON + cpu_core/* / cpu_atom/*</w:t>
            </w:r>
          </w:p>
        </w:tc>
      </w:tr>
      <w:tr w:rsidR="006F49D0" w14:paraId="31D5D532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AFFE8E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Counter Barnard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C56F25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dieselben Kernzähler, homogen pro Core-Gruppe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5A4F3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perf stat / perf record auf repräsentativen Nodes</w:t>
            </w:r>
          </w:p>
        </w:tc>
      </w:tr>
      <w:tr w:rsidR="006F49D0" w14:paraId="3A22C18B" w14:textId="77777777">
        <w:trPr>
          <w:jc w:val="center"/>
        </w:trPr>
        <w:tc>
          <w:tcPr>
            <w:tcW w:w="1757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AD9C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Memory-Access-Analyse</w:t>
            </w:r>
          </w:p>
        </w:tc>
        <w:tc>
          <w:tcPr>
            <w:tcW w:w="510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140B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Cache Line Utilization, Simulated Memory Footprint, modellierte Cache-Misses</w:t>
            </w:r>
          </w:p>
        </w:tc>
        <w:tc>
          <w:tcPr>
            <w:tcW w:w="232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BAC6D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Intel Advisor MAP + Cache Simulation</w:t>
            </w:r>
          </w:p>
        </w:tc>
      </w:tr>
    </w:tbl>
    <w:p w14:paraId="6267B335" w14:textId="77777777" w:rsidR="006F49D0" w:rsidRDefault="006F49D0"/>
    <w:p w14:paraId="3F52DD8F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Histogramm-Regel: </w:t>
      </w:r>
      <w:r w:rsidRPr="00AB2145">
        <w:rPr>
          <w:lang w:val="de-DE"/>
        </w:rPr>
        <w:t>Perzentile werden nicht gemittelt. Je Lauf werden HDR-Histogramme persistiert; Auswertung erfolgt auf den separaten Rohläufen oder über korrekt zusammengeführte Histogramme.</w:t>
      </w:r>
    </w:p>
    <w:p w14:paraId="690A809A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Wiederholungsregel: </w:t>
      </w:r>
      <w:r w:rsidRPr="00AB2145">
        <w:rPr>
          <w:lang w:val="de-DE"/>
        </w:rPr>
        <w:t>fünf Läufe werden nebeneinander berichtet. Abweichungen zwischen Lauf 1–5 sind Teil der Aussage und werden nicht weggemittelt.</w:t>
      </w:r>
    </w:p>
    <w:p w14:paraId="52F482FD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Cache-Line-Regel: </w:t>
      </w:r>
      <w:r w:rsidRPr="00AB2145">
        <w:rPr>
          <w:lang w:val="de-DE"/>
        </w:rPr>
        <w:t>Intels Advisor modelliert standardmäßig 64-Byte-Cache-Lines; diese Größe darf für die Analyse verwendet werden, ersetzt aber nicht die Hardware-Discovery und den expliziten Plattformbezug im Algorithmus.</w:t>
      </w:r>
    </w:p>
    <w:p w14:paraId="09520519" w14:textId="77777777" w:rsidR="006F49D0" w:rsidRDefault="001C5268">
      <w:pPr>
        <w:pStyle w:val="berschrift1"/>
      </w:pPr>
      <w:r>
        <w:t>7. Fairnessregeln</w:t>
      </w:r>
    </w:p>
    <w:p w14:paraId="2A9A33C0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Common-Denominator vs. Native Mode: </w:t>
      </w:r>
      <w:r w:rsidRPr="00AB2145">
        <w:rPr>
          <w:lang w:val="de-DE"/>
        </w:rPr>
        <w:t>jeder Vergleich trennt einen gemeinsamen Minimalmodus (externe Payload/Handle, keine PRT-ART-Spezialtricks) von einem PRT-ART-Native-Modus (Inline-Umschaltung, Cache-Engine, Seitentyp-Scheduler).</w:t>
      </w:r>
    </w:p>
    <w:p w14:paraId="78C011E8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Gleiche Schlüsselräume: </w:t>
      </w:r>
      <w:r w:rsidRPr="00AB2145">
        <w:rPr>
          <w:lang w:val="de-DE"/>
        </w:rPr>
        <w:t>alle Baselines erhalten identische normalisierte Byte-Keys und identische Miss-/Update-/Delete-Mengen.</w:t>
      </w:r>
    </w:p>
    <w:p w14:paraId="7B7BE438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t xml:space="preserve">Gleiche Warmups und Seeds: </w:t>
      </w:r>
      <w:r w:rsidRPr="00AB2145">
        <w:rPr>
          <w:lang w:val="de-DE"/>
        </w:rPr>
        <w:t>Warmup, Randomisierung und Thread-Pinning werden pro Plattform und Workload fest protokolliert.</w:t>
      </w:r>
    </w:p>
    <w:p w14:paraId="5AEF2AC2" w14:textId="77777777" w:rsidR="006F49D0" w:rsidRDefault="001C5268">
      <w:pPr>
        <w:pStyle w:val="Aufzhlungszeichen"/>
        <w:ind w:left="227" w:hanging="142"/>
      </w:pPr>
      <w:r w:rsidRPr="00AB2145">
        <w:rPr>
          <w:b/>
          <w:lang w:val="de-DE"/>
        </w:rPr>
        <w:t xml:space="preserve">Keine verdeckte Emulation: </w:t>
      </w:r>
      <w:r w:rsidRPr="00AB2145">
        <w:rPr>
          <w:lang w:val="de-DE"/>
        </w:rPr>
        <w:t xml:space="preserve">fehlende Prefix-/Range-Fähigkeit von Hash-Baselines wird nicht über externe Hilfsstrukturen „repariert“. </w:t>
      </w:r>
      <w:r>
        <w:t>Solche Operationen bleiben N/A.</w:t>
      </w:r>
    </w:p>
    <w:p w14:paraId="24483C67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b/>
          <w:lang w:val="de-DE"/>
        </w:rPr>
        <w:lastRenderedPageBreak/>
        <w:t xml:space="preserve">Build-Transparenz: </w:t>
      </w:r>
      <w:r w:rsidRPr="00AB2145">
        <w:rPr>
          <w:lang w:val="de-DE"/>
        </w:rPr>
        <w:t>Compiler, Flags, ISA-Pfad, Allocator und Commit-Hash jeder Fremdbibliothek werden mitgeloggt.</w:t>
      </w:r>
    </w:p>
    <w:p w14:paraId="024212CA" w14:textId="77777777" w:rsidR="006F49D0" w:rsidRDefault="001C5268">
      <w:pPr>
        <w:pStyle w:val="berschrift1"/>
      </w:pPr>
      <w:r>
        <w:t>8. Risiken und Gegenmaßnahmen</w:t>
      </w:r>
    </w:p>
    <w:tbl>
      <w:tblPr>
        <w:tblStyle w:val="Tabellenraster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515"/>
        <w:gridCol w:w="5669"/>
      </w:tblGrid>
      <w:tr w:rsidR="006F49D0" w14:paraId="32A2F634" w14:textId="77777777">
        <w:trPr>
          <w:jc w:val="center"/>
        </w:trPr>
        <w:tc>
          <w:tcPr>
            <w:tcW w:w="3515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77AEB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Risiko</w:t>
            </w:r>
          </w:p>
        </w:tc>
        <w:tc>
          <w:tcPr>
            <w:tcW w:w="5669" w:type="dxa"/>
            <w:shd w:val="clear" w:color="auto" w:fill="DCE6F1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93514E" w14:textId="77777777" w:rsidR="006F49D0" w:rsidRDefault="001C5268">
            <w:pPr>
              <w:spacing w:after="0" w:line="240" w:lineRule="auto"/>
            </w:pPr>
            <w:r>
              <w:rPr>
                <w:b/>
                <w:color w:val="1F4E79"/>
                <w:sz w:val="19"/>
              </w:rPr>
              <w:t>Gegenmaßnahme</w:t>
            </w:r>
          </w:p>
        </w:tc>
      </w:tr>
      <w:tr w:rsidR="006F49D0" w14:paraId="4FAE24D8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BECB4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alte oder schwer baubare Referenzimplementierungen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477A1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früher Build-Screening-Katalog; Alternativpfad pro Baseline</w:t>
            </w:r>
          </w:p>
        </w:tc>
      </w:tr>
      <w:tr w:rsidR="006F49D0" w:rsidRPr="00AB2145" w14:paraId="0CE4F9A3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C845A3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Hybrid-CPU-Zähler werden falsch aggregiert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46FE2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strikte Trennung cpu_core/cpu_atom; JSON-Ausgabe aus perf</w:t>
            </w:r>
          </w:p>
        </w:tc>
      </w:tr>
      <w:tr w:rsidR="006F49D0" w:rsidRPr="00AB2145" w14:paraId="5DF95B77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98F19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Permutationsmatrix wird zu groß für ad-hoc Interpretation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3845A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Kernmatrix vs. Erweiterungsmatrix; Nachtläufe und Batch-Auswertung</w:t>
            </w:r>
          </w:p>
        </w:tc>
      </w:tr>
      <w:tr w:rsidR="006F49D0" w14:paraId="20D6EFFE" w14:textId="77777777">
        <w:trPr>
          <w:jc w:val="center"/>
        </w:trPr>
        <w:tc>
          <w:tcPr>
            <w:tcW w:w="3515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6DE4A" w14:textId="77777777" w:rsidR="006F49D0" w:rsidRPr="00AB2145" w:rsidRDefault="001C5268">
            <w:pPr>
              <w:spacing w:after="0" w:line="240" w:lineRule="auto"/>
              <w:rPr>
                <w:lang w:val="de-DE"/>
              </w:rPr>
            </w:pPr>
            <w:r w:rsidRPr="00AB2145">
              <w:rPr>
                <w:sz w:val="17"/>
                <w:lang w:val="de-DE"/>
              </w:rPr>
              <w:t>inline vs. external macht Vergleiche unfair</w:t>
            </w:r>
          </w:p>
        </w:tc>
        <w:tc>
          <w:tcPr>
            <w:tcW w:w="5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FA929A" w14:textId="77777777" w:rsidR="006F49D0" w:rsidRDefault="001C5268">
            <w:pPr>
              <w:spacing w:after="0" w:line="240" w:lineRule="auto"/>
            </w:pPr>
            <w:r>
              <w:rPr>
                <w:sz w:val="17"/>
              </w:rPr>
              <w:t>Common-Denominator- und Native-Modus strikt trennen</w:t>
            </w:r>
          </w:p>
        </w:tc>
      </w:tr>
    </w:tbl>
    <w:p w14:paraId="70C1B923" w14:textId="77777777" w:rsidR="006F49D0" w:rsidRDefault="006F49D0"/>
    <w:p w14:paraId="52E87A0F" w14:textId="77777777" w:rsidR="006F49D0" w:rsidRPr="00AB2145" w:rsidRDefault="001C5268">
      <w:pPr>
        <w:pStyle w:val="berschrift1"/>
        <w:rPr>
          <w:lang w:val="de-DE"/>
        </w:rPr>
      </w:pPr>
      <w:r w:rsidRPr="00AB2145">
        <w:rPr>
          <w:lang w:val="de-DE"/>
        </w:rPr>
        <w:t>9. Ergebnis von Termin 3, das zu Termin 4 führt</w:t>
      </w:r>
    </w:p>
    <w:p w14:paraId="3B9F8584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lang w:val="de-DE"/>
        </w:rPr>
        <w:t>ein vollständiger Datensatz- und Quellenkatalog mit sechs Pflichtdatensätzen plus Erweiterungspool,</w:t>
      </w:r>
    </w:p>
    <w:p w14:paraId="71D1DA4A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lang w:val="de-DE"/>
        </w:rPr>
        <w:t>ein Baseline-Katalog mit Buildstatus, Wrapperbedarf und Funktionsparität,</w:t>
      </w:r>
    </w:p>
    <w:p w14:paraId="1AB031B6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lang w:val="de-DE"/>
        </w:rPr>
        <w:t>ein verbindliches Messschema für lokale Hybrid-CPU und Barnard,</w:t>
      </w:r>
    </w:p>
    <w:p w14:paraId="746FCB16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lang w:val="de-DE"/>
        </w:rPr>
        <w:t>ein Fairnessblatt für Common-Denominator- und Native-Vergleiche,</w:t>
      </w:r>
    </w:p>
    <w:p w14:paraId="7FCEFF21" w14:textId="77777777" w:rsidR="006F49D0" w:rsidRPr="00AB2145" w:rsidRDefault="001C5268">
      <w:pPr>
        <w:pStyle w:val="Aufzhlungszeichen"/>
        <w:ind w:left="227" w:hanging="142"/>
        <w:rPr>
          <w:lang w:val="de-DE"/>
        </w:rPr>
      </w:pPr>
      <w:r w:rsidRPr="00AB2145">
        <w:rPr>
          <w:lang w:val="de-DE"/>
        </w:rPr>
        <w:t>eine eingefrorene Kernmatrix, aus der Termin 4 dann den Scope-Freeze der Diplomarbeit ableiten kann.</w:t>
      </w:r>
    </w:p>
    <w:sectPr w:rsidR="006F49D0" w:rsidRPr="00AB2145" w:rsidSect="00034616">
      <w:pgSz w:w="12240" w:h="15840"/>
      <w:pgMar w:top="964" w:right="1134" w:bottom="964" w:left="1134" w:header="454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0582917">
    <w:abstractNumId w:val="8"/>
  </w:num>
  <w:num w:numId="2" w16cid:durableId="1005203564">
    <w:abstractNumId w:val="6"/>
  </w:num>
  <w:num w:numId="3" w16cid:durableId="1366099448">
    <w:abstractNumId w:val="5"/>
  </w:num>
  <w:num w:numId="4" w16cid:durableId="972177235">
    <w:abstractNumId w:val="4"/>
  </w:num>
  <w:num w:numId="5" w16cid:durableId="520821713">
    <w:abstractNumId w:val="7"/>
  </w:num>
  <w:num w:numId="6" w16cid:durableId="1274899590">
    <w:abstractNumId w:val="3"/>
  </w:num>
  <w:num w:numId="7" w16cid:durableId="1780025921">
    <w:abstractNumId w:val="2"/>
  </w:num>
  <w:num w:numId="8" w16cid:durableId="1146818960">
    <w:abstractNumId w:val="1"/>
  </w:num>
  <w:num w:numId="9" w16cid:durableId="62487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5268"/>
    <w:rsid w:val="0029639D"/>
    <w:rsid w:val="00326F90"/>
    <w:rsid w:val="006F49D0"/>
    <w:rsid w:val="00AA1D8D"/>
    <w:rsid w:val="00AB2145"/>
    <w:rsid w:val="00B47730"/>
    <w:rsid w:val="00CB0664"/>
    <w:rsid w:val="00DD25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D52868"/>
  <w14:defaultImageDpi w14:val="300"/>
  <w15:docId w15:val="{748DA34C-10E5-4D13-AA40-62D63E14B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pPr>
      <w:spacing w:after="80" w:line="259" w:lineRule="auto"/>
    </w:pPr>
    <w:rPr>
      <w:rFonts w:ascii="Calibri" w:eastAsia="Calibri" w:hAnsi="Calibri"/>
      <w:color w:val="202020"/>
      <w:sz w:val="21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1F4E79"/>
      <w:sz w:val="23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E79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38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  <w:spacing w:after="120"/>
    </w:pPr>
    <w:rPr>
      <w:rFonts w:asciiTheme="majorHAnsi" w:eastAsiaTheme="majorEastAsia" w:hAnsiTheme="majorHAnsi" w:cstheme="majorBidi"/>
      <w:iCs/>
      <w:color w:val="5A5A5A"/>
      <w:spacing w:val="15"/>
      <w:sz w:val="22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basedOn w:val="Standard"/>
    <w:pPr>
      <w:spacing w:before="40" w:after="60" w:line="240" w:lineRule="auto"/>
    </w:pPr>
    <w:rPr>
      <w:color w:val="5A5A5A"/>
      <w:sz w:val="18"/>
    </w:rPr>
  </w:style>
  <w:style w:type="paragraph" w:customStyle="1" w:styleId="BoxText">
    <w:name w:val="BoxText"/>
    <w:basedOn w:val="Standard"/>
    <w:pPr>
      <w:spacing w:after="60" w:line="254" w:lineRule="auto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982</Words>
  <Characters>7910</Characters>
  <Application>Microsoft Office Word</Application>
  <DocSecurity>0</DocSecurity>
  <Lines>255</Lines>
  <Paragraphs>177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8715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Benjamin-Elias Probst</cp:lastModifiedBy>
  <cp:revision>2</cp:revision>
  <dcterms:created xsi:type="dcterms:W3CDTF">2013-12-23T23:15:00Z</dcterms:created>
  <dcterms:modified xsi:type="dcterms:W3CDTF">2026-04-09T06:50:00Z</dcterms:modified>
  <cp:category/>
</cp:coreProperties>
</file>