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Cache-line awareness as a design-space problem</w:t>
      </w:r>
    </w:p>
    <w:p>
      <w:r>
        <w:t>A multi-stage binary synthesis, measurement and selection system</w:t>
        <w:br/>
        <w:t>Benjamin-Elias Probst • Diploma thesis defense • 28 September 2026</w:t>
      </w:r>
    </w:p>
    <w:p>
      <w:pPr>
        <w:pStyle w:val="Heading2"/>
      </w:pPr>
      <w:r>
        <w:t>Research question</w:t>
      </w:r>
    </w:p>
    <w:p>
      <w:r>
        <w:t>How can explicit, measurement-driven choices of search strategy, node representation, memory layout and prefetch behavior improve trie-based index processing, without confusing algorithmic effects with platform and measurement effects?</w:t>
      </w:r>
    </w:p>
    <w:p>
      <w:pPr>
        <w:pStyle w:val="Heading2"/>
      </w:pPr>
      <w:r>
        <w:t>Contribution and architecture</w:t>
      </w:r>
    </w:p>
    <w:p>
      <w:r>
        <w:t>The work separates three design realms—organ, system and measurement—and binds their main choices at compile time while exposing controlled runtime sub-axes. For the current Map/SearchAlgorithm anatomy, 18 organ slots form five canonical groups: read path, layout, placement, execution, and write path/I/O. Separation is an interface property; interactions between choices remain part of the experiment. [R3–R8]</w:t>
      </w:r>
    </w:p>
    <w:p>
      <w:r>
        <w:t>The Planner validates an XML experiment and emits the build/measurement plan. The CEB role synthesizes candidate Tier modules and drives them through versioned test docks. A selector ranks comparable, valid measurements, supports Pareto selection and packages the chosen module with its provenance. PRT-ART supplies plugin strategies, especially allocation, redirects, multilevel layout and bundle prefetching. [R2, R9, R12]</w:t>
      </w:r>
    </w:p>
    <w:p>
      <w:pPr>
        <w:pStyle w:val="Heading2"/>
      </w:pPr>
      <w:r>
        <w:t>Reference application and reproducibility</w:t>
      </w:r>
    </w:p>
    <w:p>
      <w:r>
        <w:t>Four repositories separate the super-project consumer, Cache Engine framework, PRT-ART plugin and Overleaf publication target. The current master manual defines both the full Planner→CEB→Tier route and a smaller, human-initiated publication smoke route. Generated records, XLSX/CSV, tables, diagrams and PDF artifacts retain a traceable return path. This is a functional self-application, not a self-proving scientific conclusion. [R1–R2, R14–R15]</w:t>
      </w:r>
    </w:p>
    <w:p>
      <w:pPr>
        <w:pStyle w:val="Heading2"/>
      </w:pPr>
      <w:r>
        <w:t>Evidence and boundaries</w:t>
      </w:r>
    </w:p>
    <w:p>
      <w:r>
        <w:t>The deck includes a labelled historical pilot: 320 binaries; 120,960 rows before exclusions, 109,440 retained; four varied choices and three separate repetitions. It motivates node-size trade-offs, workload-sensitive rankings, compactness and guarded prefetching. It does not establish final rebuilt performance, 34 complete original-paper benchmarks, measured cache-line utilization or universal active-selection superiority. The final run is an explicit replacement gate. [PILOT]</w:t>
      </w:r>
    </w:p>
    <w:p>
      <w:r>
        <w:t>Current source supports static measurement-driven selection and artifact shipment. Hybrid proxy and contract code exist, but the inspected proxy has a single-dock guard. General continuous multi-candidate adaptation is not claimed. [R9–R11]</w:t>
      </w:r>
    </w:p>
    <w:p>
      <w:r>
        <w:rPr>
          <w:color w:val="536176"/>
          <w:sz w:val="18"/>
        </w:rPr>
        <w:t>Source snapshot: development branches read on 16 Sep 2026. Super d738e80b · Cache Engine eb69abc1 · PRT-ART b539d6ee · Overleaf 784aae15. Source IDs and pinned links: accompanying Review and Q&amp;A. No new full project build or hardware benchmark was executed for this presentation review.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1077" w:bottom="935" w:left="107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36176"/>
        <w:sz w:val="16"/>
      </w:rPr>
      <w:t xml:space="preserve">Benjamin-Elias Probst  •  Source review 16 Sep 2026    |    SUMMARY    |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36176"/>
        <w:sz w:val="16"/>
      </w:rPr>
      <w:t>TU DRESDEN  |  DATABASE RESEARCH  |  DIPLOMA THESIS DEFENSE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4144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4144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4144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80"/>
      <w:contextualSpacing/>
    </w:pPr>
    <w:rPr>
      <w:rFonts w:asciiTheme="majorHAnsi" w:eastAsiaTheme="majorEastAsia" w:hAnsiTheme="majorHAnsi" w:cstheme="majorBidi" w:ascii="Calibri" w:hAnsi="Calibri"/>
      <w:color w:val="041447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00" w:line="259" w:lineRule="auto"/>
    </w:pPr>
    <w:rPr>
      <w:rFonts w:ascii="Calibri" w:hAnsi="Calibri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Defense summary</dc:title>
  <dc:subject>Rehearsal 18 September 2026 / defense 28 September 2026</dc:subject>
  <dc:creator>Benjamin-Elias Probst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