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review and examiner Q&amp;A</w:t>
      </w:r>
    </w:p>
    <w:p>
      <w:r>
        <w:t>Companion to the English defense deck • read-only review, frozen 16 September 2026; pins and corrections re-set 22 September 2026 (stand 53d8c072); talk restructured 22 September 2026 (Order 405, 18 main slides; Orders 418/419 and Fix 405-r2 of the same day: 17 main slides plus the hidden extra slide X1, the 19-minute route is the Monday route)</w:t>
      </w:r>
    </w:p>
    <w:p>
      <w:pPr>
        <w:pStyle w:val="Heading1"/>
      </w:pPr>
      <w:r>
        <w:t>1. What this review establishes</w:t>
      </w:r>
    </w:p>
    <w:p>
      <w:r>
        <w:t>The presentation is grounded in the four development branches, the supplied German thesis draft and the supplied June pilot CSV. It is not a new build certificate or a new hardware-performance campaign. Repository comments and historical session reports are treated as claims tied to their dates; source declarations and current executable routes are checked separately.</w:t>
      </w:r>
    </w:p>
    <w:tbl>
      <w:tblPr>
        <w:tblStyle w:val="TableGrid"/>
        <w:tblW w:type="auto" w:w="0"/>
        <w:tblLook w:firstColumn="1" w:firstRow="1" w:lastColumn="0" w:lastRow="0" w:noHBand="0" w:noVBand="1" w:val="04A0"/>
      </w:tblPr>
      <w:tblGrid>
        <w:gridCol w:w="4876"/>
        <w:gridCol w:w="4876"/>
      </w:tblGrid>
      <w:tr>
        <w:trPr>
          <w:cantSplit/>
        </w:trPr>
        <w:tc>
          <w:tcPr>
            <w:tcW w:type="dxa" w:w="5783"/>
            <w:shd w:fill="041447"/>
          </w:tcPr>
          <w:p>
            <w:r>
              <w:rPr>
                <w:b/>
                <w:color w:val="FFFFFF"/>
                <w:sz w:val="19"/>
              </w:rPr>
              <w:t>Repository / role</w:t>
            </w:r>
          </w:p>
        </w:tc>
        <w:tc>
          <w:tcPr>
            <w:tcW w:type="dxa" w:w="3798"/>
            <w:shd w:fill="041447"/>
          </w:tcPr>
          <w:p>
            <w:r>
              <w:rPr>
                <w:b/>
                <w:color w:val="FFFFFF"/>
                <w:sz w:val="19"/>
              </w:rPr>
              <w:t>Read snapshot</w:t>
            </w:r>
          </w:p>
        </w:tc>
      </w:tr>
      <w:tr>
        <w:trPr>
          <w:cantSplit/>
        </w:trPr>
        <w:tc>
          <w:tcPr>
            <w:tcW w:type="dxa" w:w="5783"/>
            <w:shd w:fill="F1F5F8"/>
          </w:tcPr>
          <w:p>
            <w:pPr>
              <w:spacing w:after="60" w:before="60"/>
            </w:pPr>
            <w:r>
              <w:rPr>
                <w:sz w:val="19"/>
              </w:rPr>
              <w:t>probst-Diplomarbeit-cache-engine</w:t>
              <w:br/>
              <w:t>Reference application / super</w:t>
            </w:r>
          </w:p>
        </w:tc>
        <w:tc>
          <w:tcPr>
            <w:tcW w:type="dxa" w:w="3798"/>
            <w:shd w:fill="F1F5F8"/>
          </w:tcPr>
          <w:p>
            <w:pPr>
              <w:spacing w:after="60" w:before="60"/>
            </w:pPr>
            <w:r>
              <w:rPr>
                <w:sz w:val="19"/>
              </w:rPr>
              <w:t>d74abd475b884e9da005ca51a228896467eff0f6</w:t>
            </w:r>
          </w:p>
        </w:tc>
      </w:tr>
      <w:tr>
        <w:trPr>
          <w:cantSplit/>
        </w:trPr>
        <w:tc>
          <w:tcPr>
            <w:tcW w:type="dxa" w:w="5783"/>
          </w:tcPr>
          <w:p>
            <w:pPr>
              <w:spacing w:after="60" w:before="60"/>
            </w:pPr>
            <w:r>
              <w:rPr>
                <w:sz w:val="19"/>
              </w:rPr>
              <w:t>comdare-cache-engine</w:t>
              <w:br/>
              <w:t>Framework and measurement machinery</w:t>
            </w:r>
          </w:p>
        </w:tc>
        <w:tc>
          <w:tcPr>
            <w:tcW w:type="dxa" w:w="3798"/>
          </w:tcPr>
          <w:p>
            <w:pPr>
              <w:spacing w:after="60" w:before="60"/>
            </w:pPr>
            <w:r>
              <w:rPr>
                <w:sz w:val="19"/>
              </w:rPr>
              <w:t>57757fe367219c9cf9ddd7546a5c5b55dc68239d</w:t>
            </w:r>
          </w:p>
        </w:tc>
      </w:tr>
      <w:tr>
        <w:trPr>
          <w:cantSplit/>
        </w:trPr>
        <w:tc>
          <w:tcPr>
            <w:tcW w:type="dxa" w:w="5783"/>
            <w:shd w:fill="F1F5F8"/>
          </w:tcPr>
          <w:p>
            <w:pPr>
              <w:spacing w:after="60" w:before="60"/>
            </w:pPr>
            <w:r>
              <w:rPr>
                <w:sz w:val="19"/>
              </w:rPr>
              <w:t>comdare-prt-art</w:t>
              <w:br/>
              <w:t>Compile-time plugin</w:t>
            </w:r>
          </w:p>
        </w:tc>
        <w:tc>
          <w:tcPr>
            <w:tcW w:type="dxa" w:w="3798"/>
            <w:shd w:fill="F1F5F8"/>
          </w:tcPr>
          <w:p>
            <w:pPr>
              <w:spacing w:after="60" w:before="60"/>
            </w:pPr>
            <w:r>
              <w:rPr>
                <w:sz w:val="19"/>
              </w:rPr>
              <w:t>b539d6ee287699b35cd8e5b9b2d33183e0cefa7a</w:t>
            </w:r>
          </w:p>
        </w:tc>
      </w:tr>
      <w:tr>
        <w:trPr>
          <w:cantSplit/>
        </w:trPr>
        <w:tc>
          <w:tcPr>
            <w:tcW w:type="dxa" w:w="5783"/>
          </w:tcPr>
          <w:p>
            <w:pPr>
              <w:spacing w:after="60" w:before="60"/>
            </w:pPr>
            <w:r>
              <w:rPr>
                <w:sz w:val="19"/>
              </w:rPr>
              <w:t>20260931-Overleaf-Diplomarbeit</w:t>
              <w:br/>
              <w:t>Manuscript and generated publication artifacts</w:t>
            </w:r>
          </w:p>
        </w:tc>
        <w:tc>
          <w:tcPr>
            <w:tcW w:type="dxa" w:w="3798"/>
          </w:tcPr>
          <w:p>
            <w:pPr>
              <w:spacing w:after="60" w:before="60"/>
            </w:pPr>
            <w:r>
              <w:rPr>
                <w:sz w:val="19"/>
              </w:rPr>
              <w:t>53d8c0729439df464fe49db6676d696e9d2a750e (stand 53d8c072)</w:t>
            </w:r>
          </w:p>
        </w:tc>
      </w:tr>
    </w:tbl>
    <w:p>
      <w:pPr>
        <w:pStyle w:val="Heading2"/>
      </w:pPr>
      <w:r>
        <w:t>Key corrections incorporated</w:t>
      </w:r>
    </w:p>
    <w:p>
      <w:r>
        <w:t>The master reproduction entry is SUPER/MANUAL_RUN.md. Planner and CEB driver are distinct executables; old README descriptions of “one binary” and removed PowerShell harnesses are historical. [R2, R18]</w:t>
      </w:r>
    </w:p>
    <w:p>
      <w:r>
        <w:t>The current PRT contribution is a declared plugin-slot capability. The older identity adapter is explicitly quarantined; it must not be used to describe the current plugin pathway as merely a std::map wrapper. [R12, R13]</w:t>
      </w:r>
    </w:p>
    <w:p>
      <w:r>
        <w:t>The five organ groups are copied from the implementation, not invented for the slides. E4–E0, generation stages, candidate taxonomy and artifact stores (thesis: Lager) remain separate views. [R3–R5]</w:t>
      </w:r>
    </w:p>
    <w:p>
      <w:r>
        <w:t>The hybrid README is not a current completion ledger. Proxy source and an interface build target exist despite the older “not built” rows. Conversely, MaxDocks == 1 is a real bound: existence is not unrestricted online switching. [R10, R11, R17]</w:t>
      </w:r>
    </w:p>
    <w:p>
      <w:r>
        <w:t>The German draft governs conceptual wording when its English translation lags. The code review governs implementation claims; measurement artifacts govern empirical claims. Conflicts are disclosed, not silently averaged into one status.</w:t>
      </w:r>
    </w:p>
    <w:p>
      <w:r>
        <w:br w:type="page"/>
      </w:r>
    </w:p>
    <w:p>
      <w:pPr>
        <w:pStyle w:val="Heading1"/>
      </w:pPr>
      <w:r>
        <w:t>2. Canonical reproduction: two routes, two claims</w:t>
      </w:r>
    </w:p>
    <w:p>
      <w:r>
        <w:t>The full route is a reproducible sequence, not a requirement that every action fit in a single command. The following entry points are taken from the current master manual. They are shown for explanation, not executed by this review. [R2]</w:t>
      </w:r>
    </w:p>
    <w:p>
      <w:pPr>
        <w:spacing w:after="0"/>
      </w:pPr>
      <w:r>
        <w:rPr>
          <w:rFonts w:ascii="Consolas" w:hAnsi="Consolas"/>
          <w:sz w:val="16"/>
        </w:rPr>
        <w:t>cd Code</w:t>
      </w:r>
    </w:p>
    <w:p>
      <w:pPr>
        <w:spacing w:after="0"/>
      </w:pPr>
      <w:r>
        <w:rPr>
          <w:rFonts w:ascii="Consolas" w:hAnsi="Consolas"/>
          <w:sz w:val="16"/>
        </w:rPr>
        <w:t>cmake --workflow --preset gcc-release</w:t>
      </w:r>
    </w:p>
    <w:p>
      <w:pPr>
        <w:spacing w:after="0"/>
      </w:pPr>
      <w:r>
        <w:rPr>
          <w:rFonts w:ascii="Consolas" w:hAnsi="Consolas"/>
          <w:sz w:val="16"/>
        </w:rPr>
        <w:t># Or build the two role executables explicitly:</w:t>
      </w:r>
    </w:p>
    <w:p>
      <w:pPr>
        <w:spacing w:after="0"/>
      </w:pPr>
      <w:r>
        <w:rPr>
          <w:rFonts w:ascii="Consolas" w:hAnsi="Consolas"/>
          <w:sz w:val="16"/>
        </w:rPr>
        <w:t>cmake --build build-test --target messung_driver comdare_experiment_planner</w:t>
      </w:r>
    </w:p>
    <w:p>
      <w:pPr>
        <w:spacing w:after="0"/>
      </w:pPr>
      <w:r>
        <w:rPr>
          <w:rFonts w:ascii="Consolas" w:hAnsi="Consolas"/>
          <w:sz w:val="16"/>
        </w:rPr>
        <w:t>"$PLANNER" validate "$PROFILE"</w:t>
      </w:r>
    </w:p>
    <w:p>
      <w:pPr>
        <w:spacing w:after="0"/>
      </w:pPr>
      <w:r>
        <w:rPr>
          <w:rFonts w:ascii="Consolas" w:hAnsi="Consolas"/>
          <w:sz w:val="16"/>
        </w:rPr>
        <w:t>"$PLANNER" plan cmake "$PROFILE" &gt; experiment_plan.cmake</w:t>
      </w:r>
    </w:p>
    <w:p>
      <w:pPr>
        <w:spacing w:after="0"/>
      </w:pPr>
      <w:r>
        <w:rPr>
          <w:rFonts w:ascii="Consolas" w:hAnsi="Consolas"/>
          <w:sz w:val="16"/>
        </w:rPr>
        <w:t>"$PLANNER" plan ci "$PROFILE" &gt; planer-child-ci.yml</w:t>
      </w:r>
    </w:p>
    <w:p>
      <w:pPr>
        <w:spacing w:after="0"/>
      </w:pPr>
      <w:r>
        <w:rPr>
          <w:rFonts w:ascii="Consolas" w:hAnsi="Consolas"/>
          <w:sz w:val="16"/>
        </w:rPr>
        <w:t># Generated stage-2 host targets:</w:t>
      </w:r>
    </w:p>
    <w:p>
      <w:pPr>
        <w:spacing w:after="0"/>
      </w:pPr>
      <w:r>
        <w:rPr>
          <w:rFonts w:ascii="Consolas" w:hAnsi="Consolas"/>
          <w:sz w:val="16"/>
        </w:rPr>
        <w:t>cmake --build "$S2/b" --target comdare_tier_batch_&lt;host&gt;</w:t>
      </w:r>
    </w:p>
    <w:p>
      <w:pPr>
        <w:spacing w:after="0"/>
      </w:pPr>
      <w:r>
        <w:rPr>
          <w:rFonts w:ascii="Consolas" w:hAnsi="Consolas"/>
          <w:sz w:val="16"/>
        </w:rPr>
        <w:t>cmake --build "$S2/b" --target comdare_tier_measure_&lt;host&gt;</w:t>
      </w:r>
    </w:p>
    <w:p>
      <w:r>
        <w:t>PLANNER, DRIVER, PROFILE and the two stage directories are initialized in MANUAL_RUN.md §§3–7. The profile determines which host-lane targets exist. Build/conformance and measurement have separate targets. Compiler floors in the repository are prerequisites, not evidence that a fresh build was repeated here.</w:t>
      </w:r>
    </w:p>
    <w:p>
      <w:pPr>
        <w:pStyle w:val="Heading2"/>
      </w:pPr>
      <w:r>
        <w:t>Minimal publication smoke route</w:t>
      </w:r>
    </w:p>
    <w:p>
      <w:r>
        <w:t>In the development CI pipeline, a human enables exactly these three opt-ins:</w:t>
      </w:r>
    </w:p>
    <w:p>
      <w:pPr>
        <w:spacing w:after="0"/>
      </w:pPr>
      <w:r>
        <w:rPr>
          <w:rFonts w:ascii="Consolas" w:hAnsi="Consolas"/>
          <w:sz w:val="16"/>
        </w:rPr>
        <w:t>COMDARE_DURCHSTICH=true</w:t>
      </w:r>
    </w:p>
    <w:p>
      <w:pPr>
        <w:spacing w:after="0"/>
      </w:pPr>
      <w:r>
        <w:rPr>
          <w:rFonts w:ascii="Consolas" w:hAnsi="Consolas"/>
          <w:sz w:val="16"/>
        </w:rPr>
        <w:t>COMDARE_PERSIST_MEASUREMENTS=true</w:t>
      </w:r>
    </w:p>
    <w:p>
      <w:pPr>
        <w:spacing w:after="0"/>
      </w:pPr>
      <w:r>
        <w:rPr>
          <w:rFonts w:ascii="Consolas" w:hAnsi="Consolas"/>
          <w:sz w:val="16"/>
        </w:rPr>
        <w:t>COMDARE_ANHANG_FORWARD=true</w:t>
      </w:r>
    </w:p>
    <w:p>
      <w:r>
        <w:t>This activates measure:smoke → persist:measurements → anhang:forward. The one-binary F1 profile deliberately bypasses Planner emission. It tests fresh measurement, record gates, result persistence, XLSX production and appendix forwarding. It does not certify a completed full-factor experiment. Do not enable COMDARE_RUN_MEASURE for this minimal test. Credential values remain in protected project variables and never belong in the deck. [R2 §8b]</w:t>
      </w:r>
    </w:p>
    <w:p>
      <w:r>
        <w:t>The current-run PDF evidence comes from the appendix-forward core gate against the fresh thesis clone. A parallel thesis:pdf job uses the pipeline’s initial gitlink and only sees the updated link in a later run. The bilingual document CI explicitly builds de and en. [R2, R15]</w:t>
      </w:r>
    </w:p>
    <w:p>
      <w:pPr>
        <w:pStyle w:val="Heading2"/>
      </w:pPr>
      <w:r>
        <w:t>Reporting and selection</w:t>
      </w:r>
    </w:p>
    <w:p>
      <w:pPr>
        <w:spacing w:after="0"/>
      </w:pPr>
      <w:r>
        <w:rPr>
          <w:rFonts w:ascii="Consolas" w:hAnsi="Consolas"/>
          <w:sz w:val="16"/>
        </w:rPr>
        <w:t>comdare-mess-report render --realm-root=&lt;results&gt; --out=&lt;report&gt;</w:t>
      </w:r>
    </w:p>
    <w:p>
      <w:pPr>
        <w:spacing w:after="0"/>
      </w:pPr>
      <w:r>
        <w:rPr>
          <w:rFonts w:ascii="Consolas" w:hAnsi="Consolas"/>
          <w:sz w:val="16"/>
        </w:rPr>
        <w:t># Default output format: xlsx; csv is an explicit alternative.</w:t>
      </w:r>
    </w:p>
    <w:p>
      <w:pPr>
        <w:spacing w:after="0"/>
      </w:pPr>
      <w:r>
        <w:rPr>
          <w:rFonts w:ascii="Consolas" w:hAnsi="Consolas"/>
          <w:sz w:val="16"/>
        </w:rPr>
        <w:t># Selection consumes valid, matched measurement cells and emits</w:t>
      </w:r>
    </w:p>
    <w:p>
      <w:pPr>
        <w:spacing w:after="0"/>
      </w:pPr>
      <w:r>
        <w:rPr>
          <w:rFonts w:ascii="Consolas" w:hAnsi="Consolas"/>
          <w:sz w:val="16"/>
        </w:rPr>
        <w:t># a real module, version sidecar and manifest. See R9.</w:t>
      </w:r>
    </w:p>
    <w:p>
      <w:r>
        <w:rPr>
          <w:color w:val="536176"/>
          <w:sz w:val="18"/>
        </w:rPr>
        <w:t>A rerun should reproduce input identity, experiment semantics, artifact provenance and an interpretable distribution of outcomes—not bit-identical elapsed time on a noisy physical machine.</w:t>
      </w:r>
    </w:p>
    <w:p>
      <w:r>
        <w:br w:type="page"/>
      </w:r>
    </w:p>
    <w:p>
      <w:pPr>
        <w:pStyle w:val="Heading1"/>
      </w:pPr>
      <w:r>
        <w:t>3. Measurement graphics: provenance and interpretation</w:t>
      </w:r>
    </w:p>
    <w:p>
      <w:r>
        <w:t>Source: tier150_measurements_INDEX320_cowfix-v1_2026-06-18.csv</w:t>
      </w:r>
    </w:p>
    <w:p>
      <w:r>
        <w:rPr>
          <w:color w:val="536176"/>
          <w:sz w:val="18"/>
        </w:rPr>
        <w:t>SHA-256: c04f622a1221f9c1c684ec71c968c2d2010b62ddef83d6de4c71a84c1f42665c</w:t>
      </w:r>
    </w:p>
    <w:p>
      <w:r>
        <w:rPr>
          <w:color w:val="536176"/>
          <w:sz w:val="18"/>
        </w:rPr>
        <w:t>Location (Lead measurement 22 September 2026): measurement backup NAS — 166,987,652 bytes, mtime 2026-06-17, 120,960 data rows plus header, 154 columns; the sha256 prefix c04f622a1221f9c1 matches the value above. No pilot_audit.json and no evidence/pilot_manifest.json exist; this CSV is the evidence record of the historical pilot and no longer the source of slides 14–16. Source of slides 14–16 since 24 September 2026: the artefact of measurement job 394381 (320 result.csv files, 3,840 data rows plus header, 189 columns, profile vortrag_pilot_320_4lp; paired medians nearest-rank per repetition).</w:t>
      </w:r>
    </w:p>
    <w:tbl>
      <w:tblPr>
        <w:tblStyle w:val="TableGrid"/>
        <w:tblW w:type="auto" w:w="0"/>
        <w:tblLook w:firstColumn="1" w:firstRow="1" w:lastColumn="0" w:lastRow="0" w:noHBand="0" w:noVBand="1" w:val="04A0"/>
      </w:tblPr>
      <w:tblGrid>
        <w:gridCol w:w="4876"/>
        <w:gridCol w:w="4876"/>
      </w:tblGrid>
      <w:tr>
        <w:trPr>
          <w:cantSplit/>
        </w:trPr>
        <w:tc>
          <w:tcPr>
            <w:tcW w:type="dxa" w:w="2268"/>
            <w:shd w:fill="041447"/>
          </w:tcPr>
          <w:p>
            <w:r>
              <w:rPr>
                <w:b/>
                <w:color w:val="FFFFFF"/>
                <w:sz w:val="19"/>
              </w:rPr>
              <w:t>Item</w:t>
            </w:r>
          </w:p>
        </w:tc>
        <w:tc>
          <w:tcPr>
            <w:tcW w:type="dxa" w:w="7313"/>
            <w:shd w:fill="041447"/>
          </w:tcPr>
          <w:p>
            <w:r>
              <w:rPr>
                <w:b/>
                <w:color w:val="FFFFFF"/>
                <w:sz w:val="19"/>
              </w:rPr>
              <w:t>Value / rule</w:t>
            </w:r>
          </w:p>
        </w:tc>
      </w:tr>
      <w:tr>
        <w:trPr>
          <w:cantSplit/>
        </w:trPr>
        <w:tc>
          <w:tcPr>
            <w:tcW w:type="dxa" w:w="2268"/>
            <w:shd w:fill="F1F5F8"/>
          </w:tcPr>
          <w:p>
            <w:pPr>
              <w:spacing w:after="60" w:before="60"/>
            </w:pPr>
            <w:r>
              <w:rPr>
                <w:sz w:val="19"/>
              </w:rPr>
              <w:t>Raw / retained rows</w:t>
            </w:r>
          </w:p>
        </w:tc>
        <w:tc>
          <w:tcPr>
            <w:tcW w:type="dxa" w:w="7313"/>
            <w:shd w:fill="F1F5F8"/>
          </w:tcPr>
          <w:p>
            <w:pPr>
              <w:spacing w:after="60" w:before="60"/>
            </w:pPr>
            <w:r>
              <w:rPr>
                <w:sz w:val="19"/>
              </w:rPr>
              <w:t>3,840 / 3,840</w:t>
            </w:r>
          </w:p>
        </w:tc>
      </w:tr>
      <w:tr>
        <w:trPr>
          <w:cantSplit/>
        </w:trPr>
        <w:tc>
          <w:tcPr>
            <w:tcW w:type="dxa" w:w="2268"/>
          </w:tcPr>
          <w:p>
            <w:pPr>
              <w:spacing w:after="60" w:before="60"/>
            </w:pPr>
            <w:r>
              <w:rPr>
                <w:sz w:val="19"/>
              </w:rPr>
              <w:t>Candidates / varied choices</w:t>
            </w:r>
          </w:p>
        </w:tc>
        <w:tc>
          <w:tcPr>
            <w:tcW w:type="dxa" w:w="7313"/>
          </w:tcPr>
          <w:p>
            <w:pPr>
              <w:spacing w:after="60" w:before="60"/>
            </w:pPr>
            <w:r>
              <w:rPr>
                <w:sz w:val="19"/>
              </w:rPr>
              <w:t>320 / search_algo, node_type, memory_layout, prefetch</w:t>
            </w:r>
          </w:p>
        </w:tc>
      </w:tr>
      <w:tr>
        <w:trPr>
          <w:cantSplit/>
        </w:trPr>
        <w:tc>
          <w:tcPr>
            <w:tcW w:type="dxa" w:w="2268"/>
            <w:shd w:fill="F1F5F8"/>
          </w:tcPr>
          <w:p>
            <w:pPr>
              <w:spacing w:after="60" w:before="60"/>
            </w:pPr>
            <w:r>
              <w:rPr>
                <w:sz w:val="19"/>
              </w:rPr>
              <w:t>Runtime settings</w:t>
            </w:r>
          </w:p>
        </w:tc>
        <w:tc>
          <w:tcPr>
            <w:tcW w:type="dxa" w:w="7313"/>
            <w:shd w:fill="F1F5F8"/>
          </w:tcPr>
          <w:p>
            <w:pPr>
              <w:spacing w:after="60" w:before="60"/>
            </w:pPr>
            <w:r>
              <w:rPr>
                <w:sz w:val="19"/>
              </w:rPr>
              <w:t>1 thread setting × 1 prefetch setting × 3 repetitions</w:t>
            </w:r>
          </w:p>
        </w:tc>
      </w:tr>
      <w:tr>
        <w:trPr>
          <w:cantSplit/>
        </w:trPr>
        <w:tc>
          <w:tcPr>
            <w:tcW w:type="dxa" w:w="2268"/>
          </w:tcPr>
          <w:p>
            <w:pPr>
              <w:spacing w:after="60" w:before="60"/>
            </w:pPr>
            <w:r>
              <w:rPr>
                <w:sz w:val="19"/>
              </w:rPr>
              <w:t>Excluded profiles</w:t>
            </w:r>
          </w:p>
        </w:tc>
        <w:tc>
          <w:tcPr>
            <w:tcW w:type="dxa" w:w="7313"/>
          </w:tcPr>
          <w:p>
            <w:pPr>
              <w:spacing w:after="60" w:before="60"/>
            </w:pPr>
            <w:r>
              <w:rPr>
                <w:sz w:val="19"/>
              </w:rPr>
              <w:t>none: all four measured workloads are included</w:t>
            </w:r>
          </w:p>
        </w:tc>
      </w:tr>
      <w:tr>
        <w:trPr>
          <w:cantSplit/>
        </w:trPr>
        <w:tc>
          <w:tcPr>
            <w:tcW w:type="dxa" w:w="2268"/>
            <w:shd w:fill="F1F5F8"/>
          </w:tcPr>
          <w:p>
            <w:pPr>
              <w:spacing w:after="60" w:before="60"/>
            </w:pPr>
            <w:r>
              <w:rPr>
                <w:sz w:val="19"/>
              </w:rPr>
              <w:t>Schema caveat</w:t>
            </w:r>
          </w:p>
        </w:tc>
        <w:tc>
          <w:tcPr>
            <w:tcW w:type="dxa" w:w="7313"/>
            <w:shd w:fill="F1F5F8"/>
          </w:tcPr>
          <w:p>
            <w:pPr>
              <w:spacing w:after="60" w:before="60"/>
            </w:pPr>
            <w:r>
              <w:rPr>
                <w:sz w:val="19"/>
              </w:rPr>
              <w:t>June data serializes 19 old choices; present anatomy has 18 organ slots. ISA/telemetry changed category.</w:t>
            </w:r>
          </w:p>
        </w:tc>
      </w:tr>
      <w:tr>
        <w:trPr>
          <w:cantSplit/>
        </w:trPr>
        <w:tc>
          <w:tcPr>
            <w:tcW w:type="dxa" w:w="2268"/>
          </w:tcPr>
          <w:p>
            <w:pPr>
              <w:spacing w:after="60" w:before="60"/>
            </w:pPr>
            <w:r>
              <w:rPr>
                <w:sz w:val="19"/>
              </w:rPr>
              <w:t>Comparison</w:t>
            </w:r>
          </w:p>
        </w:tc>
        <w:tc>
          <w:tcPr>
            <w:tcW w:type="dxa" w:w="7313"/>
          </w:tcPr>
          <w:p>
            <w:pPr>
              <w:spacing w:after="60" w:before="60"/>
            </w:pPr>
            <w:r>
              <w:rPr>
                <w:sz w:val="19"/>
              </w:rPr>
              <w:t>Pair variant and baseline in identical remaining organ choices, setting, workload and repetition.</w:t>
            </w:r>
          </w:p>
        </w:tc>
      </w:tr>
      <w:tr>
        <w:trPr>
          <w:cantSplit/>
        </w:trPr>
        <w:tc>
          <w:tcPr>
            <w:tcW w:type="dxa" w:w="2268"/>
            <w:shd w:fill="F1F5F8"/>
          </w:tcPr>
          <w:p>
            <w:pPr>
              <w:spacing w:after="60" w:before="60"/>
            </w:pPr>
            <w:r>
              <w:rPr>
                <w:sz w:val="19"/>
              </w:rPr>
              <w:t>Statistic shown</w:t>
            </w:r>
          </w:p>
        </w:tc>
        <w:tc>
          <w:tcPr>
            <w:tcW w:type="dxa" w:w="7313"/>
            <w:shd w:fill="F1F5F8"/>
          </w:tcPr>
          <w:p>
            <w:pPr>
              <w:spacing w:after="60" w:before="60"/>
            </w:pPr>
            <w:r>
              <w:rPr>
                <w:sz w:val="19"/>
              </w:rPr>
              <w:t>Median of paired percent changes, separately for each repetition. No average of latency percentiles.</w:t>
            </w:r>
          </w:p>
        </w:tc>
      </w:tr>
      <w:tr>
        <w:trPr>
          <w:cantSplit/>
        </w:trPr>
        <w:tc>
          <w:tcPr>
            <w:tcW w:type="dxa" w:w="2268"/>
          </w:tcPr>
          <w:p>
            <w:pPr>
              <w:spacing w:after="60" w:before="60"/>
            </w:pPr>
            <w:r>
              <w:rPr>
                <w:sz w:val="19"/>
              </w:rPr>
              <w:t>Invalid inference</w:t>
            </w:r>
          </w:p>
        </w:tc>
        <w:tc>
          <w:tcPr>
            <w:tcW w:type="dxa" w:w="7313"/>
          </w:tcPr>
          <w:p>
            <w:pPr>
              <w:spacing w:after="60" w:before="60"/>
            </w:pPr>
            <w:r>
              <w:rPr>
                <w:sz w:val="19"/>
              </w:rPr>
              <w:t>No causal cache-line-utilization claim, no complete original-paper ranking, no fresh multicore-scaling claim.</w:t>
            </w:r>
          </w:p>
        </w:tc>
      </w:tr>
    </w:tbl>
    <w:p>
      <w:r>
        <w:t>The setting string includes the repetition identity; pairing is exact. The charts retain repetitions as separate markers. The search heatmap prints the minimum and maximum of the three per-repetition paired medians. These are descriptive ranges, not confidence intervals.</w:t>
      </w:r>
    </w:p>
    <w:p>
      <w:r>
        <w:t>Node16 in the YCSB-C ns_per_op slice has per-run changes of −1.81%, −0.45% and −0.59% versus Node4; Node256 is −1.74%, −0.91% and −1.35%. Each run contains 80 matched contexts. Do not translate these into “ART is faster.” The measured entity is a candidate anatomy built with the thesis toolchain (24 Sep 2026).</w:t>
      </w:r>
    </w:p>
    <w:p>
      <w:r>
        <w:t>A fourfold live-footprint median for the widened layouts was quoted with the pilot; that figure is not backed by a source supplied with this deck (neither the thesis nor pilot_paired_effects.csv carries a footprint column) and is not used on the slides. Prefetch effects near zero are shown alongside the historical real-address limitation. The inconsistent historical cache-line observer field is deliberately not used for CLU or line-count graphs. The supplied small PMC ZIP is not pooled with the main CSV.</w:t>
      </w:r>
    </w:p>
    <w:p>
      <w:r>
        <w:rPr>
          <w:b/>
        </w:rPr>
        <w:t>Replacement gate:</w:t>
      </w:r>
      <w:r>
        <w:t xml:space="preserve"> provide the final CSV/XLSX plus its commits, profile, actual hardware/core/ISA, dataset checksums, exclusion criteria and validity evidence. Recompute the matched effects, update slides 14–16 and the evidence manifest, then adjust the conclusion only to what the new data support.</w:t>
      </w:r>
    </w:p>
    <w:p>
      <w:r>
        <w:br w:type="page"/>
      </w:r>
    </w:p>
    <w:p>
      <w:pPr>
        <w:pStyle w:val="Heading1"/>
      </w:pPr>
      <w:r>
        <w:t>4. Examiner questions: contribution and architecture</w:t>
      </w:r>
    </w:p>
    <w:p>
      <w:pPr>
        <w:pStyle w:val="Heading3"/>
      </w:pPr>
      <w:r>
        <w:t>What is new beyond OpenTuner or ordinary autotuning?</w:t>
      </w:r>
    </w:p>
    <w:p>
      <w:r>
        <w:t>Not the general loop of generation, measurement and selection. The claimed contribution is the paper-derived search-index anatomy, explicit measurement/system/organ realms, staged module contracts and traceable publication pipeline in this application. C++23 and a plugin API alone do not establish novelty. Compare the concrete interfaces, capabilities and evidence, not labels. The thesis draws the line more sharply: not the parameters of one fixed implementation are permuted, but the organ assignment of a living being, and each permutation is compiled into its own binary (thesis chapter 4, introduction). [R3–R9; E1]</w:t>
      </w:r>
    </w:p>
    <w:p>
      <w:pPr>
        <w:pStyle w:val="Heading3"/>
      </w:pPr>
      <w:r>
        <w:t>Does separation imply independence?</w:t>
      </w:r>
    </w:p>
    <w:p>
      <w:r>
        <w:t>No. It makes responsibilities and variation points explicit. Dependencies remain, particularly between search, node, layout and allocator. A valid experiment must exercise the selected strategy through the real shared substrate. Compatibility constraints exclude combinations that violate semantics. [R3, R5] The thesis names one concrete non-orthogonal coupling — node type x path compression — which is marked as such and restricted during permutation (Sec. 6.1).</w:t>
      </w:r>
    </w:p>
    <w:p>
      <w:pPr>
        <w:pStyle w:val="Heading3"/>
      </w:pPr>
      <w:r>
        <w:t>What does “active” mean if the candidate is compiled statically?</w:t>
      </w:r>
    </w:p>
    <w:p>
      <w:r>
        <w:t>The apparatus actively specifies, generates, measures, evaluates and selects candidates. Main strategies are bound at compile time; declared sub-axes are parameterized at runtime. This does not require source-code mutation during a lookup. The explicit phrase is “compile-time composition, runtime parameterization, and measurement-driven binary selection.” [R2–R4] The phrase is the talk's shorthand. The thesis defines “active” on the built structure: the same axis-constant structure is built once actively — with a runtime-dynamic cache-line policy and measurement-driven selection of the best binary — and once passively, under an identical compiler and flag basis (Sec. 6.1), where FF0 is marked open.</w:t>
      </w:r>
    </w:p>
    <w:p>
      <w:pPr>
        <w:pStyle w:val="Heading3"/>
      </w:pPr>
      <w:r>
        <w:t>Why is PRT-ART not the main competing index anymore?</w:t>
      </w:r>
    </w:p>
    <w:p>
      <w:r>
        <w:t>It is the candidate under test (thesis: Pruefling) for extensibility — in the thesis glossary 'probe' denotes the measurement sensor, so that word is avoided here: a plugin contributes strategies under existing contracts and the same test apparatus. Its profile can be compared or its components combined where compatibility allows. The plugin contract, not the legacy identity façade, is the active integration entry. [R12–R13]</w:t>
      </w:r>
    </w:p>
    <w:p>
      <w:pPr>
        <w:pStyle w:val="Heading3"/>
      </w:pPr>
      <w:r>
        <w:t>Do the 33 profiles reconstruct the original papers exactly?</w:t>
      </w:r>
    </w:p>
    <w:p>
      <w:r>
        <w:t>A persisted profile is an experimental configuration and provenance reference, not a guarantee of whole-implementation equivalence. Original implementations, reconstructed profiles and isolated organ tests remain separate categories. Every performance claim must identify which category was measured. [R16] (33 profiles P01–P33: 30 full profiles and 3 abstract profiles, thesis Sec. 3.2.)</w:t>
      </w:r>
    </w:p>
    <w:p>
      <w:pPr>
        <w:pStyle w:val="Heading3"/>
      </w:pPr>
      <w:r>
        <w:t>Why not simply benchmark complete ART, HOT and Masstree?</w:t>
      </w:r>
    </w:p>
    <w:p>
      <w:r>
        <w:t>Whole-index baselines remain important, but they confound many internal choices. The component apparatus addresses a complementary question: which compatible choice changes the cost within a controlled configuration? The two methods must not be reported as interchangeable evidence. [R3–R6]</w:t>
      </w:r>
    </w:p>
    <w:p>
      <w:r>
        <w:br w:type="page"/>
      </w:r>
    </w:p>
    <w:p>
      <w:pPr>
        <w:pStyle w:val="Heading1"/>
      </w:pPr>
      <w:r>
        <w:t>5. Examiner questions: validity and selection</w:t>
      </w:r>
    </w:p>
    <w:p>
      <w:pPr>
        <w:pStyle w:val="Heading3"/>
      </w:pPr>
      <w:r>
        <w:t>Does the framework control the physical cache directly?</w:t>
      </w:r>
    </w:p>
    <w:p>
      <w:r>
        <w:t>No. Layout, locality, instruction choice and prefetch hints influence behavior; they do not guarantee residency or perfect placement in hardware-managed caches. Therefore the experiment evaluates end-to-end costs and, where available, well-defined counters. An algorithmic hint is not itself evidence that a line arrived early enough. [PDF, chapter 3; PILOT] The thesis' limitation K9 adds that the historical prefetch axis interpreted key values as pseudo-addresses — no real memory prefetch (Appendix A limitations table, row 9).</w:t>
      </w:r>
    </w:p>
    <w:p>
      <w:pPr>
        <w:pStyle w:val="Heading3"/>
      </w:pPr>
      <w:r>
        <w:t>What do the measurement plots prove?</w:t>
      </w:r>
    </w:p>
    <w:p>
      <w:r>
        <w:t>They show descriptive sensitivity in the four-axis measurement rebuilt with the thesis toolchain (24 Sep 2026). They motivate the final tests and expose trade-offs. They do not prove the rebuilt framework’s performance, generalization across machines, or superiority of the final active selection policy. The dataset, filters and computation are supplied alongside the deck. [MEASUREMENT 2026-09-24] The measurement is not in the submitted text: chapter 5 and Appendix A report only the smoke series of 43 permutations and state that no other measurement is cited; the panels were rebuilt after submission with the thesis toolchain (24 Sep 2026) (stand 53d8c072).</w:t>
      </w:r>
    </w:p>
    <w:p>
      <w:pPr>
        <w:pStyle w:val="Heading3"/>
      </w:pPr>
      <w:r>
        <w:t>Why use medians when repetitions should remain separate?</w:t>
      </w:r>
    </w:p>
    <w:p>
      <w:r>
        <w:t>The displayed median summarizes matched context contrasts within one repetition. We do not merge the repetitions into one result or average latency percentiles. Three markers preserve the between-run view. The heatmap states its range-of-run-medians construction explicitly. [MEASUREMENT 2026-09-24] The thesis' own appendix aggregates its smoke cell across all dynamic settings and repetitions together; the talk's measurement keeps the repetitions apart — a difference in procedure, not a contradiction.</w:t>
      </w:r>
    </w:p>
    <w:p>
      <w:pPr>
        <w:pStyle w:val="Heading3"/>
      </w:pPr>
      <w:r>
        <w:t>How do you avoid selecting a noise winner?</w:t>
      </w:r>
    </w:p>
    <w:p>
      <w:r>
        <w:t>Match cells and validity first, then evaluate a declared objective. The selector supports Pareto fronts. A held-out or repeated validation of the selected artifact is still necessary to claim generalization; the current review does not fabricate such a run. Report training/selection and validation costs separately. [R9] The thesis' limitations table (row 10) names node_type and memory_layout as the most confounded axes — exactly the axes of slides 14 and 16 — and search_algo and prefetch as the least.</w:t>
      </w:r>
    </w:p>
    <w:p>
      <w:pPr>
        <w:pStyle w:val="Heading3"/>
      </w:pPr>
      <w:r>
        <w:t>Is the hybrid runtime fully implemented?</w:t>
      </w:r>
    </w:p>
    <w:p>
      <w:r>
        <w:t>A real proxy, module ABI and dock infrastructure exist; an older README understates them. The inspected HybridBinaryProxy also has static_assert(MaxDocks == 1). It is therefore incorrect to claim unrestricted multi-dock online switching from the reviewed source. The deck separates the implemented bound from the broader design. [R10–R11, R17] Two different objects: MaxDocks is the template parameter of HybridBinaryProxy (fixed at 1); the thesis' number 32 is the dock ceiling used as the arity of the reroute genus (kRerouteGenusCtSlotCount), not the proxy parameter.</w:t>
      </w:r>
    </w:p>
    <w:p>
      <w:pPr>
        <w:pStyle w:val="Heading3"/>
      </w:pPr>
      <w:r>
        <w:t>Can one ABI be stable across every compiler and OS?</w:t>
      </w:r>
    </w:p>
    <w:p>
      <w:r>
        <w:t>No unrestricted cross-platform binary interchange is claimed. Source-level contracts, capability checks and versioned artifacts support the admitted toolchain/platform combinations. Actual loading, ownership, calling conventions and provenance remain platform-specific verification obligations. [R2, R4, R9] Concretely, the module ABI carries major version 9 and seven mandatory symbols with C binding (thesis chapter 4, ABI-stable C module boundary).</w:t>
      </w:r>
    </w:p>
    <w:p>
      <w:pPr>
        <w:pStyle w:val="Heading3"/>
      </w:pPr>
      <w:r>
        <w:t>What is the organ meta-meta axis, and why is there no nineteenth slot row?</w:t>
      </w:r>
    </w:p>
    <w:p>
      <w:r>
        <w:t>The thesis does carry a nineteenth organ axis, but of a different kind. Eighteen composition axes, T00 to T17, form the binary identity: the binary_id is a path of eighteen axis=value segments. The nineteenth is the optional organ meta-meta axis for disk I/O — an axis that does not describe an assignment but describes how other axes are described. It becomes effective only once disk write-back enters the design, it stamps in the bracket appendix of the organ line, and it stays outside the permutation identity. So the slot count stays eighteen, and the storage organ on backup slide B8 is not a nineteenth slot either — it is a composition of T4, T5 and T6. [thesis Sec. 1.4, Sec. 3.1, Sec. 3.4.1, Appendix C; CE cache_engine_axis_registry.xml: disk_io, binary_id=never]</w:t>
      </w:r>
    </w:p>
    <w:p>
      <w:pPr>
        <w:pStyle w:val="Heading3"/>
      </w:pPr>
      <w:r>
        <w:t>What are FF0 to FF4, and which slide answers which?</w:t>
      </w:r>
    </w:p>
    <w:p>
      <w:r>
        <w:t>The thesis states one main question FF0 and four measurable questions FF1 to FF4, with eleven sub-questions (FF0.E, FF1.a, FF1.b, FF2.a–d, FF3.a, FF3.b, FF4.a, FF4.E). FF0 asks how much active, measurement-driven cache-aware decisions — page type, memory layout, value handling and prefetching — improve trie-based search structures against passive, statically laid-out variants on different CPU platforms. FF1 asks for the canonical decomposition into orthogonal axes and a permutation matrix, FF2 for the reproducible measurement pipeline across series A, B and C and three granularities, FF3 whether the candidate under test PRT-ART wins through microarchitectural properties, FF4 what must be fixed at compile time and what may be chosen at run time. In this talk slides 5 to 11 carry FF1 (the puzzle system, the organs, one real tree and its profile), slides 12 and 13 (and the hidden extra slide X1) carry FF2 and FF4, and slides 14 to 16 illustrate FF0 and FF2.d. The thesis states that FF0 and FF3 remain open until series A has run; FF3.b is answered and has become the build form. [thesis Sec. 1.3, Sec. 6.1 (stand 53d8c072)]</w:t>
      </w:r>
    </w:p>
    <w:p>
      <w:pPr>
        <w:pStyle w:val="Heading3"/>
      </w:pPr>
      <w:r>
        <w:t>What is the state of the campaign — when does the full series replace the four-axis measurement?</w:t>
      </w:r>
    </w:p>
    <w:p>
      <w:r>
        <w:t>The thesis reports only a smoke series over 43 permutations (27 Cartesian combinations of SIMD, memory layout and allocator plus 16 over four two-valued quantities), and its measurement appendix contains exactly one measured cell: one search method (k_ary), one workload (ycsb_c), one tier binary, a working set of 4096, N = 1. The mandatory series A to C on the target platforms are marked n/a because the full build has not been carried out. The delivery measurement over the 320-identity catalogue is listed among the open steps. Until that run exists, the four-axis measurement panels are supplementary material, and the conclusion is adjusted only to what the new data support. [thesis chapter 5 (available measurements), Appendix A, Sec. 6.1 (stand 53d8c072)]</w:t>
      </w:r>
    </w:p>
    <w:p>
      <w:pPr>
        <w:pStyle w:val="Heading3"/>
      </w:pPr>
      <w:r>
        <w:t>How do binary identity and the fingerprint doctrine answer the reproducibility question?</w:t>
      </w:r>
    </w:p>
    <w:p>
      <w:r>
        <w:t>Every result row is identifiable through the stamp system. The binary_id is the path of eighteen axis=value segments in canonical slot order; the fingerprint is a SHA-512 over eleven members with the format identifier fingerprint_format=6; three stamp lines, one per realm (organ, system, measurement), are compiled in. Measurement values never appear in the stamp — what is stamped is the compile-time identity. One caveat stated in the thesis: the overlay member hashes the source files of the overlay cut, so a pure source change yields a new identity. [thesis Sec. 3.4.4, chapter 5 (stamp identity), chapter 4 (overlay member) (stand 53d8c072)]</w:t>
      </w:r>
    </w:p>
    <w:p>
      <w:pPr>
        <w:pStyle w:val="Heading3"/>
      </w:pPr>
      <w:r>
        <w:t>What is the licence and publication status?</w:t>
      </w:r>
    </w:p>
    <w:p>
      <w:r>
        <w:t>The thesis repository is under Creative Commons Attribution 4.0 International (CC BY 4.0), copyright held by the author. The code is not uniformly Apache-2.0: the author's own code is Apache License 2.0, extended by the Comdare Research License 1.0 for the embedded software cores, with a change date of 10 August 2031, after which those cores become Apache License 2.0; submodules and third-party components keep their own licences. [thesis LICENSE, NOTICE, REUSE.toml (stand 53d8c072)]</w:t>
      </w:r>
    </w:p>
    <w:p>
      <w:pPr>
        <w:pStyle w:val="Heading3"/>
      </w:pPr>
      <w:r>
        <w:t>Does the XML shown on slides 10 and 11 really drive the build?</w:t>
      </w:r>
    </w:p>
    <w:p>
      <w:r>
        <w:t>The persisted profile carries identity and provenance — id and paper_ref — and those are wired into the experiment. Its axes block still serialises the historical eleven-axis catalogue, which the repository marks as legacy and read-only; the parser stores it as a free map without registry validation, the code generator emits it as a comment, and only the traversal entry is read as a workload heuristic. The canonical axis set today has eighteen composition axes. So the slide shows how a profile expresses a composition, not a live build input for every field. Slide 10 quotes the file verbatim (28 lines, ce 57757fe3); slide 11 cuts it down to the three storage entries. [CE algorithm_profiles/README.md, permutation_axes.xml, xml_config_parser.cpp, codegen.cpp, experiment_driver.cpp, axis_path_serialization.hpp; R16]</w:t>
      </w:r>
    </w:p>
    <w:p>
      <w:pPr>
        <w:pStyle w:val="Heading3"/>
      </w:pPr>
      <w:r>
        <w:t>Why is measurement series C not collected?</w:t>
      </w:r>
    </w:p>
    <w:p>
      <w:r>
        <w:t>Series C is the thesis' merge/regression series, old against new. It is bound to no single build stage: stage 1 (cache engine only) and stage 2 (candidate under test only) feed series A, the full join of stage 3 feeds series B, and series C runs build-spanning — over successive states of the same configuration and over concrete merge points between PRT-ART design constituents and cache-engine permutations — with the stage-1 baseline as its reference. It therefore needs at least two complete build states measured under the same profile. No complete build state exists: the full build was not carried out before the submission (22 September 2026), so chapter 5 and Appendix A report all three mandatory series A–C as n/a, and the talk marks series A/B as rebuilt with the thesis toolchain (24 Sep 2026) and series C as not collected. The four-axis rebuild of the talk's experiments (node type, memory layout, search algorithm, prefetch) completed on 24 Sep 2026 and measures a small matrix on one build state; it replaces the figures of slides 14–16, but it does not produce series C automatically — series C stays reported as not collected until two complete build states have been measured. [thesis Sec. 3.4 (table of stages and series), chapter 5 (available measurements), Appendix A, Sec. 6.1 (stand 53d8c072)]</w:t>
      </w:r>
    </w:p>
    <w:p>
      <w:pPr>
        <w:pStyle w:val="Heading3"/>
      </w:pPr>
      <w:r>
        <w:t>What is the “puzzle system” in the thesis' own terms?</w:t>
      </w:r>
    </w:p>
    <w:p>
      <w:r>
        <w:t>The talk's image for the thesis' axis permutation matrix. The thesis dissects thirty-three published designs (30 full and 3 abstract profiles, Sec. 3.2 “state of the art as axis instances”) into recurring design decisions; every decision becomes an axis with interchangeable pieces. Eighteen organ main axes T00–T17 form the organ realm, three system main axes — target ISA, operating system, extension hardware — the system realm, and the measurement axes the measurement realm (Sec. 1.4, Sec. 3.4.1). One chosen piece per axis is an algorithm profile — the talk's “construction profile” — and each permutation of organ pieces is compiled into its own binary (chapter 4, introduction). The persisted profiles carry one value per axis; the per-axis range permutation is designed but not implemented (Sec. 3.2). [thesis Sec. 1.4, 3.2, 3.4.1, chapter 4 (stand 783f8973)]</w:t>
      </w:r>
    </w:p>
    <w:p>
      <w:pPr>
        <w:pStyle w:val="Heading3"/>
      </w:pPr>
      <w:r>
        <w:t>What is an “organ”, and what is an “organ experiment”?</w:t>
      </w:r>
    </w:p>
    <w:p>
      <w:r>
        <w:t>In the thesis' anatomy metaphor an organ is the assignment of one organ axis in a living being — a concrete search algorithm (Sec. 3.3.1; glossary: axis = orthogonal partial decision, “organ”). An organ experiment is the talk's name for varying exactly one organ axis while all other axes, the runtime settings, the workload and the repetition are matched — the MATCH / VARY / REPORT rule of slide 13 (Sec. 5.2.5; Appendix A, axis exchangeability; fairness rules Sec. 5.1.7). Two cautions from the thesis: separation is not independence — node type x path compression is a marked, restricted coupling (Sec. 6.1) —, and a composed organ such as the storage organ (T4 + T5 + T6) is a composition at the same level, not a nineteenth slot (backup B8). [thesis Sec. 3.3.1, 5.1.7, 5.2.5, 6.1, Appendix A, Appendix C (stand 783f8973)]</w:t>
      </w:r>
    </w:p>
    <w:p>
      <w:pPr>
        <w:pStyle w:val="Heading3"/>
      </w:pPr>
      <w:r>
        <w:t>Is the XML on slide 10 the real file, and why does it show eleven axes when the thesis counts eighteen?</w:t>
      </w:r>
    </w:p>
    <w:p>
      <w:r>
        <w:t>It is the file sota/art.profile.xml of the cache-engine repository, all twenty-eight lines verbatim (ce 57757fe3). Its axes block is the historical eleven-axis form, marked LEGACY and read-only (algorithm_profiles/README.md); the parser stores it as a free map, the code generator emits it as a comment, only the traversal entry is read; id and paper_ref are the wired fields. The canonical catalogue today has eighteen composition axes T00–T17 (cache_engine_axis_registry.xml: node_type T04, memory_layout T05, allocator T06, prefetch T07, concurrency T08, value_handle T10 are the ones labelled on slide 9); “telemetry” and “isa” in the file belong to the measurement and system realms of the thesis. So slides 9–11 show how a profile expresses a composition, not a live build input for every field. [CE algorithm_profiles/README.md, sota/art.profile.xml, cache_engine_axis_registry.xml; R16]</w:t>
      </w:r>
    </w:p>
    <w:p>
      <w:pPr>
        <w:pStyle w:val="Heading3"/>
      </w:pPr>
      <w:r>
        <w:t>Why call it a white-box auto-tuner, and how does that differ from OpenTuner?</w:t>
      </w:r>
    </w:p>
    <w:p>
      <w:r>
        <w:t>The thesis places the apparatus in the line of empirical, measurement-driven autotuning — ATLAS, FFTW, OpenTuner (chapter 4, introduction; Sec. 3.6.1 “measure-in-the-loop autotuners”) — and draws the difference: not the parameters of one fixed implementation are permuted, but the organ assignment of a living being, and each permutation is compiled into its own binary. White-box means that the pieces and their wiring are visible and named — in the profile, in the eighteen axis=value segments of the binary identity and in the three stamp lines — so a result is always attributable to a declared composition, not to a black-box parameter search. See also question 1 (OpenTuner). [thesis chapter 4 (introduction), Sec. 3.4.4, Sec. 3.6.1 (stand 783f8973)]</w:t>
      </w:r>
    </w:p>
    <w:p>
      <w:r>
        <w:br w:type="page"/>
      </w:r>
    </w:p>
    <w:p>
      <w:pPr>
        <w:pStyle w:val="Heading1"/>
      </w:pPr>
      <w:r>
        <w:t>6. Final rehearsal and publication gates</w:t>
      </w:r>
    </w:p>
    <w:p>
      <w:pPr>
        <w:pStyle w:val="Heading3"/>
      </w:pPr>
      <w:r>
        <w:t>Evidence before wording</w:t>
      </w:r>
    </w:p>
    <w:p>
      <w:r>
        <w:t>Do not promote a source-level capability, a passing historical test report or a provisioned artifact into a fresh experimental result. Keep the code snapshot, PDF draft and final data snapshot distinct.</w:t>
      </w:r>
    </w:p>
    <w:p>
      <w:pPr>
        <w:pStyle w:val="Heading3"/>
      </w:pPr>
      <w:r>
        <w:t>Replace provisional data</w:t>
      </w:r>
    </w:p>
    <w:p>
      <w:r>
        <w:t>Slides 14–16 are intentionally removable panels. Preserve the comparison question and method, replace data and captions together. Never use an illustrative cost curve as measured performance.</w:t>
      </w:r>
    </w:p>
    <w:p>
      <w:pPr>
        <w:pStyle w:val="Heading3"/>
      </w:pPr>
      <w:r>
        <w:t>Timing and animation</w:t>
      </w:r>
    </w:p>
    <w:p>
      <w:r>
        <w:t>There are seventeen main slides (plus the hidden extra slide X1 after the backup) and fourteen native on-click entrance steps on slides 5, 6, 7, 9, 10, 11 and 12 (two per slide); the three slides added on 22 September 2026 (5, 9, 10) received their two click steps on 22 September 2026 (Fix 405-r2, Order 419) in the same appear-entrance pattern as the four Composition slides. Rehearse in desktop PowerPoint using the supplied speaker notes. The static PDF intentionally shows each slide’s final state. Native click behavior has been authored and its XML targets checked; rendering is not a native PowerPoint playback test.</w:t>
      </w:r>
    </w:p>
    <w:p>
      <w:pPr>
        <w:pStyle w:val="Heading3"/>
      </w:pPr>
      <w:r>
        <w:t>Terminology freeze</w:t>
      </w:r>
    </w:p>
    <w:p>
      <w:r>
        <w:t>Use “33 SOTA paper profiles” (30 full, 3 abstract); “18 current Map organ slots”; “five organ groups” only as the source grouping, not as a thesis term; “family (Gattung)” for the interface family and “genus (tier subclass)” instead of “Tier class”; “probe dock” (one per genus) instead of “test dock”; “candidate under test (Pruefling)” for PRT-ART, “probe” only for the measurement sensor; the compile/runtime phrase as the talk's shorthand for main axis / sub-axis / measurement-driven selection. Specify “design realm” (organ, system, measurement) versus “artifact store (Lager)” — “realm” is reserved for the axis triad. “Puzzle system”, “construction profile” and “organ experiment” are the talk's images; thesis terms: axis permutation matrix, algorithm profile, organ-axis variation (Sec. 1.4, 3.2, 5.2.5).</w:t>
      </w:r>
    </w:p>
    <w:p>
      <w:pPr>
        <w:pStyle w:val="Heading3"/>
      </w:pPr>
      <w:r>
        <w:t>Keep the history short</w:t>
      </w:r>
    </w:p>
    <w:p>
      <w:r>
        <w:t>Tell why the original trie became a plugin and why cache-line effects required a shared experiment apparatus. Do not spend main-talk time on repository churn, credential incidents or agent workflow logs.</w:t>
      </w:r>
    </w:p>
    <w:p>
      <w:pPr>
        <w:pStyle w:val="Heading3"/>
      </w:pPr>
      <w:r>
        <w:t>Technical claims to avoid</w:t>
      </w:r>
    </w:p>
    <w:p>
      <w:r>
        <w:t>No first-ever universal compiler-compiler; no all-platform optimality; no complete original-paper comparison from component labels; no guaranteed cache residency; no claim that the automatically filled thesis proves its own hypotheses.</w:t>
      </w:r>
    </w:p>
    <w:p>
      <w:pPr>
        <w:pStyle w:val="Heading3"/>
      </w:pPr>
      <w:r>
        <w:t>Final release checks</w:t>
      </w:r>
    </w:p>
    <w:p>
      <w:r>
        <w:t>Open the animated deck in PowerPoint; verify click ordering and the last state of every graphic. Confirm the official title, name/date and English wording. Replace pilot panels (done 24 Sep 2026: slides 14–16 now show the four-axis measurement), rerender the static companion, and rehearse both routes — the 19-minute route (cuts applied) and the full script of the 25-minute frame — with time left for questions.</w:t>
      </w:r>
    </w:p>
    <w:p>
      <w:r>
        <w:rPr>
          <w:color w:val="536176"/>
          <w:sz w:val="18"/>
        </w:rPr>
        <w:t>No repository was modified, no CI job was triggered, and no new full software build was executed for this document. Changes are local presentation and companion artifacts only.</w:t>
      </w:r>
    </w:p>
    <w:p>
      <w:r>
        <w:br w:type="page"/>
      </w:r>
    </w:p>
    <w:p>
      <w:pPr>
        <w:pStyle w:val="Heading1"/>
      </w:pPr>
      <w:r>
        <w:t>7. Pinned source index</w:t>
      </w:r>
    </w:p>
    <w:p>
      <w:r>
        <w:t>These links identify what was read. A current branch may later move; the links were re-pinned on 22 September 2026 to the commits listed in table 1 (stand 53d8c072) and retain those commits. Source IDs are carried in slide footers and full speaker notes.</w:t>
      </w:r>
    </w:p>
    <w:p>
      <w:hyperlink r:id="rId11">
        <w:r>
          <w:rPr>
            <w:color w:val="157E91"/>
            <w:sz w:val="18"/>
          </w:rPr>
          <w:t>[R1] Four-repository reference application</w:t>
        </w:r>
      </w:hyperlink>
    </w:p>
    <w:p>
      <w:r>
        <w:rPr>
          <w:color w:val="536176"/>
          <w:sz w:val="18"/>
        </w:rPr>
        <w:t>SUPER: README.md</w:t>
      </w:r>
    </w:p>
    <w:p>
      <w:hyperlink r:id="rId12">
        <w:r>
          <w:rPr>
            <w:color w:val="157E91"/>
            <w:sz w:val="18"/>
          </w:rPr>
          <w:t>[R2] Canonical build, measurement and publication paths</w:t>
        </w:r>
      </w:hyperlink>
    </w:p>
    <w:p>
      <w:r>
        <w:rPr>
          <w:color w:val="536176"/>
          <w:sz w:val="18"/>
        </w:rPr>
        <w:t>SUPER: MANUAL_RUN.md</w:t>
      </w:r>
    </w:p>
    <w:p>
      <w:hyperlink r:id="rId13">
        <w:r>
          <w:rPr>
            <w:color w:val="157E91"/>
            <w:sz w:val="18"/>
          </w:rPr>
          <w:t>[R3] Architecture atlas: orthogonal views and chronological corrections</w:t>
        </w:r>
      </w:hyperlink>
    </w:p>
    <w:p>
      <w:r>
        <w:rPr>
          <w:color w:val="536176"/>
          <w:sz w:val="18"/>
        </w:rPr>
        <w:t>SUPER: docs/architektur/05b_uml_klassenatlas_20260805.md</w:t>
      </w:r>
    </w:p>
    <w:p>
      <w:hyperlink r:id="rId14">
        <w:r>
          <w:rPr>
            <w:color w:val="157E91"/>
            <w:sz w:val="18"/>
          </w:rPr>
          <w:t>[R4] Family (Gattung) / genus (tier subclass) / organ hierarchy</w:t>
        </w:r>
      </w:hyperlink>
    </w:p>
    <w:p>
      <w:r>
        <w:rPr>
          <w:color w:val="536176"/>
          <w:sz w:val="18"/>
        </w:rPr>
        <w:t>CE: libs/cache_engine/anatomy/anatomy_base.hpp</w:t>
      </w:r>
    </w:p>
    <w:p>
      <w:hyperlink r:id="rId15">
        <w:r>
          <w:rPr>
            <w:color w:val="157E91"/>
            <w:sz w:val="18"/>
          </w:rPr>
          <w:t>[R5] Five source organ groups (not a thesis term); two artifact-store (Lager) cascades</w:t>
        </w:r>
      </w:hyperlink>
    </w:p>
    <w:p>
      <w:r>
        <w:rPr>
          <w:color w:val="536176"/>
          <w:sz w:val="18"/>
        </w:rPr>
        <w:t>CE: libs/cache_engine/builder/bestandslog/lager_baum_writer.hpp</w:t>
      </w:r>
    </w:p>
    <w:p>
      <w:hyperlink r:id="rId16">
        <w:r>
          <w:rPr>
            <w:color w:val="157E91"/>
            <w:sz w:val="18"/>
          </w:rPr>
          <w:t>[R6] Generated organ registry</w:t>
        </w:r>
      </w:hyperlink>
    </w:p>
    <w:p>
      <w:r>
        <w:rPr>
          <w:color w:val="536176"/>
          <w:sz w:val="18"/>
        </w:rPr>
        <w:t>CE: libs/cache_engine/algorithm_profiles/cache_engine_axis_registry.xml</w:t>
      </w:r>
    </w:p>
    <w:p>
      <w:hyperlink r:id="rId17">
        <w:r>
          <w:rPr>
            <w:color w:val="157E91"/>
            <w:sz w:val="18"/>
          </w:rPr>
          <w:t>[R7] Three system main axes and their ownership</w:t>
        </w:r>
      </w:hyperlink>
    </w:p>
    <w:p>
      <w:r>
        <w:rPr>
          <w:color w:val="536176"/>
          <w:sz w:val="18"/>
        </w:rPr>
        <w:t>CE: libs/cache_engine/system_axes/README.md</w:t>
      </w:r>
    </w:p>
    <w:p>
      <w:hyperlink r:id="rId18">
        <w:r>
          <w:rPr>
            <w:color w:val="157E91"/>
            <w:sz w:val="18"/>
          </w:rPr>
          <w:t>[R8] Measurement-category registry</w:t>
        </w:r>
      </w:hyperlink>
    </w:p>
    <w:p>
      <w:r>
        <w:rPr>
          <w:color w:val="536176"/>
          <w:sz w:val="18"/>
        </w:rPr>
        <w:t>CE: libs/cache_engine/include/cache_engine/measurement/measurement_axis_registry.hpp</w:t>
      </w:r>
    </w:p>
    <w:p>
      <w:hyperlink r:id="rId19">
        <w:r>
          <w:rPr>
            <w:color w:val="157E91"/>
            <w:sz w:val="18"/>
          </w:rPr>
          <w:t>[R9] Measured ranking, Pareto selection and artifact shipment</w:t>
        </w:r>
      </w:hyperlink>
    </w:p>
    <w:p>
      <w:r>
        <w:rPr>
          <w:color w:val="536176"/>
          <w:sz w:val="18"/>
        </w:rPr>
        <w:t>CE: libs/cache_engine/builder/best_binary_selector/best_binary_selector.hpp</w:t>
      </w:r>
    </w:p>
    <w:p>
      <w:r>
        <w:br w:type="page"/>
      </w:r>
    </w:p>
    <w:p>
      <w:pPr>
        <w:pStyle w:val="Heading1"/>
      </w:pPr>
      <w:r>
        <w:t>Source index, continued</w:t>
      </w:r>
    </w:p>
    <w:p>
      <w:hyperlink r:id="rId20">
        <w:r>
          <w:rPr>
            <w:color w:val="157E91"/>
            <w:sz w:val="18"/>
          </w:rPr>
          <w:t>[R10] Hybrid proxy: actual scope and single-dock guard</w:t>
        </w:r>
      </w:hyperlink>
    </w:p>
    <w:p>
      <w:r>
        <w:rPr>
          <w:color w:val="536176"/>
          <w:sz w:val="18"/>
        </w:rPr>
        <w:t>CE: libs/cache_engine/hybrid/hybrid_binary_proxy.hpp</w:t>
      </w:r>
    </w:p>
    <w:p>
      <w:hyperlink r:id="rId21">
        <w:r>
          <w:rPr>
            <w:color w:val="157E91"/>
            <w:sz w:val="18"/>
          </w:rPr>
          <w:t>[R11] Hybrid build contract, stage-neutral drive</w:t>
        </w:r>
      </w:hyperlink>
    </w:p>
    <w:p>
      <w:r>
        <w:rPr>
          <w:color w:val="536176"/>
          <w:sz w:val="18"/>
        </w:rPr>
        <w:t>CE: libs/cache_engine/hybrid/CMakeLists.txt</w:t>
      </w:r>
    </w:p>
    <w:p>
      <w:hyperlink r:id="rId22">
        <w:r>
          <w:rPr>
            <w:color w:val="157E91"/>
            <w:sz w:val="18"/>
          </w:rPr>
          <w:t>[R12] Plugin declaration and capability evidence</w:t>
        </w:r>
      </w:hyperlink>
    </w:p>
    <w:p>
      <w:r>
        <w:rPr>
          <w:color w:val="536176"/>
          <w:sz w:val="18"/>
        </w:rPr>
        <w:t>PRT: comdare_pruefling.cmake</w:t>
      </w:r>
    </w:p>
    <w:p>
      <w:hyperlink r:id="rId23">
        <w:r>
          <w:rPr>
            <w:color w:val="157E91"/>
            <w:sz w:val="18"/>
          </w:rPr>
          <w:t>[R13] PRT-ART historical model superseded by plugin model</w:t>
        </w:r>
      </w:hyperlink>
    </w:p>
    <w:p>
      <w:r>
        <w:rPr>
          <w:color w:val="536176"/>
          <w:sz w:val="18"/>
        </w:rPr>
        <w:t>PRT: README.md</w:t>
      </w:r>
    </w:p>
    <w:p>
      <w:hyperlink r:id="rId24">
        <w:r>
          <w:rPr>
            <w:color w:val="157E91"/>
            <w:sz w:val="18"/>
          </w:rPr>
          <w:t>[R14] Artifact reporting, XLSX and read-only progress CLI</w:t>
        </w:r>
      </w:hyperlink>
    </w:p>
    <w:p>
      <w:r>
        <w:rPr>
          <w:color w:val="536176"/>
          <w:sz w:val="18"/>
        </w:rPr>
        <w:t>CE: MANUAL_RUN.md</w:t>
      </w:r>
    </w:p>
    <w:p>
      <w:hyperlink r:id="rId25">
        <w:r>
          <w:rPr>
            <w:color w:val="157E91"/>
            <w:sz w:val="18"/>
          </w:rPr>
          <w:t>[R15] Actual bilingual publication build and gates</w:t>
        </w:r>
      </w:hyperlink>
    </w:p>
    <w:p>
      <w:r>
        <w:rPr>
          <w:color w:val="536176"/>
          <w:sz w:val="18"/>
        </w:rPr>
        <w:t>TEXT: .gitlab-ci.yml</w:t>
      </w:r>
    </w:p>
    <w:p>
      <w:hyperlink r:id="rId26">
        <w:r>
          <w:rPr>
            <w:color w:val="157E91"/>
            <w:sz w:val="18"/>
          </w:rPr>
          <w:t>[R16] Representative persisted ART profile; not an original-code proof</w:t>
        </w:r>
      </w:hyperlink>
    </w:p>
    <w:p>
      <w:r>
        <w:rPr>
          <w:color w:val="536176"/>
          <w:sz w:val="18"/>
        </w:rPr>
        <w:t>CE: libs/cache_engine/algorithm_profiles/sota/art.profile.xml</w:t>
      </w:r>
    </w:p>
    <w:p>
      <w:hyperlink r:id="rId27">
        <w:r>
          <w:rPr>
            <w:color w:val="157E91"/>
            <w:sz w:val="18"/>
          </w:rPr>
          <w:t>[R17] Historical hybrid README; cross-check later implementation</w:t>
        </w:r>
      </w:hyperlink>
    </w:p>
    <w:p>
      <w:r>
        <w:rPr>
          <w:color w:val="536176"/>
          <w:sz w:val="18"/>
        </w:rPr>
        <w:t>CE: libs/cache_engine/hybrid/README.md</w:t>
      </w:r>
    </w:p>
    <w:p>
      <w:hyperlink r:id="rId28">
        <w:r>
          <w:rPr>
            <w:color w:val="157E91"/>
            <w:sz w:val="18"/>
          </w:rPr>
          <w:t>[R18] Current framework README with deprecated historical paths</w:t>
        </w:r>
      </w:hyperlink>
    </w:p>
    <w:p>
      <w:r>
        <w:rPr>
          <w:color w:val="536176"/>
          <w:sz w:val="18"/>
        </w:rPr>
        <w:t>CE: README.md</w:t>
      </w:r>
    </w:p>
    <w:p>
      <w:hyperlink r:id="rId29">
        <w:r>
          <w:rPr>
            <w:color w:val="157E91"/>
            <w:sz w:val="18"/>
          </w:rPr>
          <w:t>[E1] Ansel et al., OpenTuner (PACT 2014), accepted manuscript</w:t>
        </w:r>
      </w:hyperlink>
    </w:p>
    <w:p>
      <w:hyperlink r:id="rId30">
        <w:r>
          <w:rPr>
            <w:color w:val="157E91"/>
            <w:sz w:val="18"/>
          </w:rPr>
          <w:t>[E2] withdrawn 22 Sep 2026: SPIRAL is not cited in the thesis or its bibliography; question 1 no longer names it (was: SPIRAL, self-adaptive sorting, project research overview)</w:t>
        </w:r>
      </w:hyperlink>
    </w:p>
    <w:p>
      <w:r>
        <w:rPr>
          <w:color w:val="536176"/>
          <w:sz w:val="18"/>
        </w:rPr>
        <w:t>[PDF] German thesis, development 53d8c072 (294 pages, core text 126 pages; 22 September 2026 (stand 53d8c072); the 202-page draft of 13 September 2026 is superseded), especially chapter 3, figures 3.6 (inter-organ usage graph, fig:usage; long version; not in the submitted short version) and 3.12 (five interface layers E4-E0, fig:e-layers; figure 3.7 in the submitted short version bau/kurzfassung-346 a0b9e2c1) at 53d8c072, and evaluation/status discussion. [PILOT] Source CSV and its SHA-256 are documented in section 3; the CSV lies on the measurement backup NAS; no evidence/pilot_manifest.json exists.</w:t>
      </w:r>
    </w:p>
    <w:sectPr w:rsidR="00FC693F" w:rsidRPr="0006063C" w:rsidSect="00034616">
      <w:headerReference w:type="default" r:id="rId9"/>
      <w:footerReference w:type="default" r:id="rId10"/>
      <w:pgSz w:w="11906" w:h="16838"/>
      <w:pgMar w:top="935" w:right="1077" w:bottom="935"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36176"/>
        <w:sz w:val="16"/>
      </w:rPr>
      <w:t xml:space="preserve">Benjamin-Elias Probst  •  Source review 16 Sep 2026, re-pinned 22 Sep 2026; restructured 22 Sep 2026    |    REVIEW &amp; Q&amp;A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176"/>
        <w:sz w:val="16"/>
      </w:rPr>
      <w:t>TU DRESDEN  |  DATABASE RESEARCH  |  DIPLOMA THESIS DEFENSE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41447"/>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41447"/>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41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Calibri" w:hAnsi="Calibri"/>
      <w:color w:val="04144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enniProbst/probst-Diplomarbeit-cache-engine/blob/d74abd475b884e9da005ca51a228896467eff0f6/README.md" TargetMode="External"/><Relationship Id="rId12" Type="http://schemas.openxmlformats.org/officeDocument/2006/relationships/hyperlink" Target="https://github.com/BenniProbst/probst-Diplomarbeit-cache-engine/blob/d74abd475b884e9da005ca51a228896467eff0f6/MANUAL_RUN.md" TargetMode="External"/><Relationship Id="rId13" Type="http://schemas.openxmlformats.org/officeDocument/2006/relationships/hyperlink" Target="https://github.com/BenniProbst/probst-Diplomarbeit-cache-engine/blob/d74abd475b884e9da005ca51a228896467eff0f6/docs/architektur/05b_uml_klassenatlas_20260805.md" TargetMode="External"/><Relationship Id="rId14" Type="http://schemas.openxmlformats.org/officeDocument/2006/relationships/hyperlink" Target="https://github.com/BenniProbst/comdare-cache-engine/blob/57757fe367219c9cf9ddd7546a5c5b55dc68239d/libs/cache_engine/anatomy/anatomy_base.hpp" TargetMode="External"/><Relationship Id="rId15" Type="http://schemas.openxmlformats.org/officeDocument/2006/relationships/hyperlink" Target="https://github.com/BenniProbst/comdare-cache-engine/blob/57757fe367219c9cf9ddd7546a5c5b55dc68239d/libs/cache_engine/builder/bestandslog/lager_baum_writer.hpp" TargetMode="External"/><Relationship Id="rId16" Type="http://schemas.openxmlformats.org/officeDocument/2006/relationships/hyperlink" Target="https://github.com/BenniProbst/comdare-cache-engine/blob/57757fe367219c9cf9ddd7546a5c5b55dc68239d/libs/cache_engine/algorithm_profiles/cache_engine_axis_registry.xml" TargetMode="External"/><Relationship Id="rId17" Type="http://schemas.openxmlformats.org/officeDocument/2006/relationships/hyperlink" Target="https://github.com/BenniProbst/comdare-cache-engine/blob/57757fe367219c9cf9ddd7546a5c5b55dc68239d/libs/cache_engine/system_axes/README.md" TargetMode="External"/><Relationship Id="rId18" Type="http://schemas.openxmlformats.org/officeDocument/2006/relationships/hyperlink" Target="https://github.com/BenniProbst/comdare-cache-engine/blob/57757fe367219c9cf9ddd7546a5c5b55dc68239d/libs/cache_engine/include/cache_engine/measurement/measurement_axis_registry.hpp" TargetMode="External"/><Relationship Id="rId19" Type="http://schemas.openxmlformats.org/officeDocument/2006/relationships/hyperlink" Target="https://github.com/BenniProbst/comdare-cache-engine/blob/57757fe367219c9cf9ddd7546a5c5b55dc68239d/libs/cache_engine/builder/best_binary_selector/best_binary_selector.hpp" TargetMode="External"/><Relationship Id="rId20" Type="http://schemas.openxmlformats.org/officeDocument/2006/relationships/hyperlink" Target="https://github.com/BenniProbst/comdare-cache-engine/blob/57757fe367219c9cf9ddd7546a5c5b55dc68239d/libs/cache_engine/hybrid/hybrid_binary_proxy.hpp" TargetMode="External"/><Relationship Id="rId21" Type="http://schemas.openxmlformats.org/officeDocument/2006/relationships/hyperlink" Target="https://github.com/BenniProbst/comdare-cache-engine/blob/57757fe367219c9cf9ddd7546a5c5b55dc68239d/libs/cache_engine/hybrid/CMakeLists.txt" TargetMode="External"/><Relationship Id="rId22" Type="http://schemas.openxmlformats.org/officeDocument/2006/relationships/hyperlink" Target="https://github.com/BenniProbst/comdare-prt-art/blob/b539d6ee287699b35cd8e5b9b2d33183e0cefa7a/comdare_pruefling.cmake" TargetMode="External"/><Relationship Id="rId23" Type="http://schemas.openxmlformats.org/officeDocument/2006/relationships/hyperlink" Target="https://github.com/BenniProbst/comdare-prt-art/blob/b539d6ee287699b35cd8e5b9b2d33183e0cefa7a/README.md" TargetMode="External"/><Relationship Id="rId24" Type="http://schemas.openxmlformats.org/officeDocument/2006/relationships/hyperlink" Target="https://github.com/BenniProbst/comdare-cache-engine/blob/57757fe367219c9cf9ddd7546a5c5b55dc68239d/MANUAL_RUN.md" TargetMode="External"/><Relationship Id="rId25" Type="http://schemas.openxmlformats.org/officeDocument/2006/relationships/hyperlink" Target="https://github.com/BenniProbst/20260931-Overleaf-Diplomarbeit/blob/53d8c0729439df464fe49db6676d696e9d2a750e/.gitlab-ci.yml" TargetMode="External"/><Relationship Id="rId26" Type="http://schemas.openxmlformats.org/officeDocument/2006/relationships/hyperlink" Target="https://github.com/BenniProbst/comdare-cache-engine/blob/57757fe367219c9cf9ddd7546a5c5b55dc68239d/libs/cache_engine/algorithm_profiles/sota/art.profile.xml" TargetMode="External"/><Relationship Id="rId27" Type="http://schemas.openxmlformats.org/officeDocument/2006/relationships/hyperlink" Target="https://github.com/BenniProbst/comdare-cache-engine/blob/57757fe367219c9cf9ddd7546a5c5b55dc68239d/libs/cache_engine/hybrid/README.md" TargetMode="External"/><Relationship Id="rId28" Type="http://schemas.openxmlformats.org/officeDocument/2006/relationships/hyperlink" Target="https://github.com/BenniProbst/comdare-cache-engine/blob/57757fe367219c9cf9ddd7546a5c5b55dc68239d/README.md" TargetMode="External"/><Relationship Id="rId29" Type="http://schemas.openxmlformats.org/officeDocument/2006/relationships/hyperlink" Target="https://dspace.mit.edu/entities/publication/f8356ce0-4bf7-43ea-b04e-4b0737fd735f" TargetMode="External"/><Relationship Id="rId30" Type="http://schemas.openxmlformats.org/officeDocument/2006/relationships/hyperlink" Target="https://www.spiral.net/software/sor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review and examiner Q&amp;A</dc:title>
  <dc:subject>Rehearsal 18 September 2026 / defense 28 September 2026</dc:subject>
  <dc:creator>Benjamin-Elias Probst</dc:creator>
  <cp:keywords/>
  <dc:description>generated by python-docx</dc:description>
  <cp:lastModifiedBy/>
  <cp:revision>1</cp:revision>
  <dcterms:created xsi:type="dcterms:W3CDTF">2013-12-23T23:15:00Z</dcterms:created>
  <dcterms:modified xsi:type="dcterms:W3CDTF">2013-12-23T23:15:00Z</dcterms:modified>
  <cp:category/>
</cp:coreProperties>
</file>