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guide</w:t>
      </w:r>
    </w:p>
    <w:p>
      <w:pPr>
        <w:pStyle w:val="Subtitle"/>
      </w:pPr>
      <w:r>
        <w:t>Cache-line awareness: constructing comparable index algorithms</w:t>
      </w:r>
    </w:p>
    <w:p>
      <w:r>
        <w:t>17 main slides (14 of the Composition plus three text-only slides: 05 the puzzle system, 09 ART taken apart, 10 art.profile.xml verbatim; the fifteenth Composition slide, the former slide 13 'Measure the algorithm and its organs', is the hidden extra slide X1 after the backup, Orders 418/419) · two routes from one script: the 19-MINUTE ROUTE is the Monday route — all time lines and slide headers below carry it; it applies the cuts marked [OPTIONAL-19] and the [OPTIONAL — cut reserve] closing sentences of slides 14–16 and runs 19:37 at 2.3 words per second (21:46 at the slower comparison pace of 125 words per minute; the emergency ladder E1–E5 in the appendix brings the 125-words-per-minute pace down to 20:07); the FULL script for the 25-minute frame runs 20:41 at 2.3 words per second (22:56 at 125 words per minute) and stands as a table in the appendix · hard window of the 19-minute route 19:00–20:00 (corridor 19:20–19:40) · 5 minutes for questions. English slides and narration. The related-work slide now precedes the roadmap; the three result slides, numbered 14–16, now show the four-axis measurement of 24 Sep 2026; the eight backup slides and the hidden extra slide are outside the timed route. Scripted pace: all time lines, slide headers and route windows are cut at 2.3 words per second (about 138 words per minute); 125 words per minute is the slower comparison pace of this guide and appears only in parentheses. Rehearse slides 14–16 (Monday route: 269 s at 2.3 words per second, 298 s at 125 words per minute) separately against the clock. [OPTIONAL-19 — 19-minute route] marks the words that the 19-minute route drops: at the start of a paragraph the whole paragraph, inside a paragraph a dashed insertion up to its closing dash, otherwise the text up to the end of the sentence.</w:t>
      </w:r>
    </w:p>
    <w:p>
      <w:pPr>
        <w:pStyle w:val="BodyText"/>
      </w:pPr>
      <w:r>
        <w:t>The revised explanation follows the active German thesis: selected axis implementations form working organs; interface wiring turns those organs into the complete algorithm. The storage example is T4 (node type) + T5 (memory layout) + T6 (allocator). The concept part opens with the puzzle system (slide 5) and makes it concrete with ART taken apart (slide 9) and its verbatim profile (slide 10) before the assembly drawing.</w:t>
      </w:r>
    </w:p>
    <w:p>
      <w:pPr>
        <w:pStyle w:val="Heading1"/>
      </w:pPr>
      <w:r>
        <w:t>01  Active Cache-Aware Hardware Adaptation:</w:t>
        <w:br/>
        <w:t>Cache Engine for Trie-Based Index Structures</w:t>
      </w:r>
    </w:p>
    <w:p>
      <w:pPr>
        <w:keepNext/>
        <w:spacing w:after="120"/>
      </w:pPr>
      <w:r>
        <w:rPr>
          <w:b/>
          <w:color w:val="00878C"/>
          <w:sz w:val="18"/>
        </w:rPr>
        <w:t>00:00–00:21 | 21 seconds</w:t>
      </w:r>
    </w:p>
    <w:p>
      <w:r>
        <w:t>This thesis studies main-memory index structures from the perspective of cache-line awareness. I will start with the task that an index solves, explain the design problem, and then show the concept, its implementation, and three representative measured comparisons. The central question is which design decisions help under which conditions.</w:t>
      </w:r>
    </w:p>
    <w:p>
      <w:pPr>
        <w:pStyle w:val="Heading1"/>
      </w:pPr>
      <w:r>
        <w:t>02  What is an index for?</w:t>
      </w:r>
    </w:p>
    <w:p>
      <w:pPr>
        <w:keepNext/>
        <w:spacing w:after="120"/>
      </w:pPr>
      <w:r>
        <w:rPr>
          <w:b/>
          <w:color w:val="00878C"/>
          <w:sz w:val="18"/>
        </w:rPr>
        <w:t>00:21–01:38 | 77 seconds</w:t>
      </w:r>
    </w:p>
    <w:p>
      <w:r>
        <w:t>Suppose a database contains records identified by keys. A query asks for the record associated with the key cat. Without an index, one possible approach is to inspect records until the key is found. An index provides a navigation structure from the key to the requested record. The same structure may also support insertion, deletion and ordered navigation.</w:t>
      </w:r>
    </w:p>
    <w:p>
      <w:r>
        <w:t>The important distinction in this drawing is between the index and the data. The index supplies a path; a leaf or terminal entry supplies a reference to the record. Different index structures can implement the same externally visible operation while following very different paths through memory.</w:t>
      </w:r>
    </w:p>
    <w:p>
      <w:r>
        <w:t>My scope is principally CPU-based, main-memory search. The question is not simply which data structure has a familiar name or the best asymptotic bound. It is how the physical implementation of this navigation affects performance under an explicitly defined workload. The goal of this thesis is a system that makes such design decisions comparable one at a time. We first need to understand the existing design choices before discussing the apparatus that compares them.</w:t>
      </w:r>
    </w:p>
    <w:p>
      <w:r>
        <w:br w:type="page"/>
      </w:r>
    </w:p>
    <w:p>
      <w:pPr>
        <w:pStyle w:val="Heading1"/>
      </w:pPr>
      <w:r>
        <w:t>03  Existing indexes make different choices</w:t>
      </w:r>
    </w:p>
    <w:p>
      <w:pPr>
        <w:keepNext/>
        <w:spacing w:after="120"/>
      </w:pPr>
      <w:r>
        <w:rPr>
          <w:b/>
          <w:color w:val="00878C"/>
          <w:sz w:val="18"/>
        </w:rPr>
        <w:t>01:38–02:56 | 78 seconds</w:t>
      </w:r>
    </w:p>
    <w:p>
      <w:r>
        <w:t>Main-memory index research contains several approaches to reducing navigation and memory costs. CSS and CSB-plus trees emphasize the organization of directories and child groups. ART adapts node representations to the number of children. HOT uses discriminating bits to reduce navigation height. Masstree combines key slices with layered tree structures.</w:t>
      </w:r>
    </w:p>
    <w:p>
      <w:r>
        <w:t>These are established techniques, not contributions of this thesis. They show why comparing index names alone is not enough: a published implementation is a bundle of decisions.</w:t>
      </w:r>
    </w:p>
    <w:p>
      <w:r>
        <w:t>The cache-line drawing makes one physical consequence visible. A transfer brings a line of bytes into the cache, but a lookup may use only part of it. Grouping relevant fields can improve cache-line utilization, the CLU of the thesis. Conversely, a larger representation can reduce some search work while increasing the amount of memory involved. The illustrated line is 64 bytes; that is an example, not a universal hardware assumption.</w:t>
      </w:r>
    </w:p>
    <w:p>
      <w:r>
        <w:t>This leads to the thesis problem: when two complete implementations perform differently, which part of the bundle caused the difference? We need to make the candidate decisions explicit while preserving the operation being compared.</w:t>
      </w:r>
    </w:p>
    <w:p>
      <w:r>
        <w:br w:type="page"/>
      </w:r>
    </w:p>
    <w:p>
      <w:pPr>
        <w:pStyle w:val="Heading1"/>
      </w:pPr>
      <w:r>
        <w:t>04  Roadmap — following the thesis</w:t>
      </w:r>
    </w:p>
    <w:p>
      <w:pPr>
        <w:keepNext/>
        <w:spacing w:after="120"/>
      </w:pPr>
      <w:r>
        <w:rPr>
          <w:b/>
          <w:color w:val="00878C"/>
          <w:sz w:val="18"/>
        </w:rPr>
        <w:t>02:56–03:29 | 33 seconds</w:t>
      </w:r>
    </w:p>
    <w:p>
      <w:r>
        <w:t>The presentation follows the thesis. Introduction and related work are done: [OPTIONAL-19 — 19-minute route] what an index is for and how today's indexes differ. The concept comes next, in four steps — the puzzle system, the parts of a search algorithm and their categories, one real tree taken apart, and its XML profile. Implementation — in the thesis, “Implementation and concrete algorithm components” — turns such a profile into measurable candidates. Evaluation then examines three concrete comparisons. I close with what the evidence supports and what still needs final validation.</w:t>
      </w:r>
    </w:p>
    <w:p>
      <w:pPr>
        <w:pStyle w:val="Heading1"/>
      </w:pPr>
      <w:r>
        <w:t>05  The puzzle system: one construction profile</w:t>
      </w:r>
    </w:p>
    <w:p>
      <w:pPr>
        <w:keepNext/>
        <w:spacing w:after="120"/>
      </w:pPr>
      <w:r>
        <w:rPr>
          <w:b/>
          <w:color w:val="00878C"/>
          <w:sz w:val="18"/>
        </w:rPr>
        <w:t>03:29–04:34 | 65 seconds</w:t>
      </w:r>
    </w:p>
    <w:p>
      <w:r>
        <w:t>Before any detail, here is the idea of the whole system as a puzzle. I read thirty-three published designs and took each one apart into its design decisions. Decisions that recur across papers — how a node is laid out, how memory is allocated, how a lookup walks the tree — became the axes of one construction profile.</w:t>
      </w:r>
    </w:p>
    <w:p>
      <w:r>
        <w:t>The pieces on each axis are the organs of a search algorithm: eighteen organ axes in the thesis' catalogue. Two further kinds of axes are not organs: system axes describe the build and the target platform, measurement axes describe how we observe. Both are held fixed whenever organs are compared.</w:t>
      </w:r>
    </w:p>
    <w:p>
      <w:r>
        <w:t>Playing the puzzle means choosing exactly one piece per axis. That choice is a construction profile, and every profile is compiled into its own binary and measured. Swapping one organ while everything else stays is what I call an organ experiment; [OPTIONAL-19 — 19-minute route] the whole rest of this talk is about doing this for real.</w:t>
      </w:r>
    </w:p>
    <w:p>
      <w:pPr>
        <w:spacing w:after="180"/>
      </w:pPr>
      <w:r>
        <w:rPr>
          <w:i/>
          <w:color w:val="657487"/>
          <w:sz w:val="18"/>
        </w:rPr>
        <w:t>Presenter cue — Click 1: the organ-axes row appears (label, the 18-organs box and the construction-profile box). Click 2: the system-axes and measurement-axes rows appear (both held fixed); then point at the right-hand column.</w:t>
      </w:r>
    </w:p>
    <w:p>
      <w:pPr>
        <w:pStyle w:val="Heading1"/>
      </w:pPr>
      <w:r>
        <w:t>06  From design axes to a storage organ</w:t>
      </w:r>
    </w:p>
    <w:p>
      <w:pPr>
        <w:keepNext/>
        <w:spacing w:after="120"/>
      </w:pPr>
      <w:r>
        <w:rPr>
          <w:b/>
          <w:color w:val="00878C"/>
          <w:sz w:val="18"/>
        </w:rPr>
        <w:t>04:34–06:07 | 93 seconds</w:t>
      </w:r>
    </w:p>
    <w:p>
      <w:r>
        <w:t>The puzzle's eighteen organ axes fall into five categories. Read path: how a lookup walks the tree. Layout: how a node is shaped in memory. Placement: where nodes and values live and who allocates them. Execution: concurrency and prefetch. Write and I/O: updates and persistence. These categories organise the design space; they are not five executable modules, and they are a source grouping, not a thesis term. Let us zoom into a concrete part of an ART-derived framework configuration: storage. We need a node representation, a physical layout and an allocation strategy.</w:t>
      </w:r>
    </w:p>
    <w:p>
      <w:r>
        <w:t>On each axis we choose a concrete design constituent. In this illustration the choices are Node4, cache-line-aligned layout and mimalloc. The alternatives remain visible on the left. These names also occur in the persisted ART profile that I will show shortly; this is a reconstructed framework example, not a claim of original-ART fidelity.</w:t>
      </w:r>
    </w:p>
    <w:p>
      <w:r>
        <w:t>The selected pieces now come together. Node type contributes capacity, layout contributes the byte arrangement, and the allocator supplies memory. Together they form a functional storage organ. The composed organ exposes the StorageOrgan interface.</w:t>
      </w:r>
    </w:p>
    <w:p>
      <w:r>
        <w:t>This is the missing construction step: the framework does not merely label an existing index. It composes a working part from selected implementations. Next, we connect that part to the rest of the algorithm.</w:t>
      </w:r>
    </w:p>
    <w:p>
      <w:pPr>
        <w:spacing w:after="180"/>
      </w:pPr>
      <w:r>
        <w:rPr>
          <w:i/>
          <w:color w:val="657487"/>
          <w:sz w:val="18"/>
        </w:rPr>
        <w:t>Presenter cue — before click 1: point at the five chips at the top while naming the categories. Click 1: selected implementations form the storage organ. Click 2: the shared StorageOrgan interface appears.</w:t>
      </w:r>
    </w:p>
    <w:p>
      <w:pPr>
        <w:pStyle w:val="Heading1"/>
      </w:pPr>
      <w:r>
        <w:t>07  Wire organs into a complete algorithm</w:t>
      </w:r>
    </w:p>
    <w:p>
      <w:pPr>
        <w:keepNext/>
        <w:spacing w:after="120"/>
      </w:pPr>
      <w:r>
        <w:rPr>
          <w:b/>
          <w:color w:val="00878C"/>
          <w:sz w:val="18"/>
        </w:rPr>
        <w:t>06:07–07:23 | 76 seconds</w:t>
      </w:r>
    </w:p>
    <w:p>
      <w:r>
        <w:t>Here is the same storage organ inside a complete SearchAlgorithm anatomy. We keep the request find cat and the expected value forty-two from the introductory example.</w:t>
      </w:r>
    </w:p>
    <w:p>
      <w:r>
        <w:t>Let us expand the body. The search organ performs the search logic. The storage organ contains the selected node, layout and allocator implementations. The value-handle policy describes access to the payload. The remaining organ slots are still bound; the slide simply does not expand every one.</w:t>
      </w:r>
    </w:p>
    <w:p>
      <w:r>
        <w:t>Now follow the operative connections. Search must use the StorageOrgan interface. Otherwise, replacing the selected layout or allocator would change a label but not the real search path. In the thesis, anatomy means this composition and this wiring together.</w:t>
      </w:r>
    </w:p>
    <w:p>
      <w:r>
        <w:t>Changing one compatible design constituent therefore changes a part of the body. We recompose and compile a new candidate, then compare the complete algorithms under the same external contract. We do not compare an isolated collection of unrelated microbenchmarks.</w:t>
      </w:r>
    </w:p>
    <w:p>
      <w:r>
        <w:t>The important boundary is that a framework composition is not automatically a faithful reconstruction of the original paper. That requires separate provenance and conformance evidence.</w:t>
      </w:r>
    </w:p>
    <w:p>
      <w:pPr>
        <w:spacing w:after="180"/>
      </w:pPr>
      <w:r>
        <w:rPr>
          <w:i/>
          <w:color w:val="657487"/>
          <w:sz w:val="18"/>
        </w:rPr>
        <w:t>Presenter cue — Click 1: the organs form the body. Click 2: show the mandatory service connections and complete lookup.</w:t>
      </w:r>
    </w:p>
    <w:p>
      <w:r>
        <w:br w:type="page"/>
      </w:r>
    </w:p>
    <w:p>
      <w:pPr>
        <w:pStyle w:val="Heading1"/>
      </w:pPr>
      <w:r>
        <w:t>08  Three design spaces, two binding times</w:t>
      </w:r>
    </w:p>
    <w:p>
      <w:pPr>
        <w:keepNext/>
        <w:spacing w:after="120"/>
      </w:pPr>
      <w:r>
        <w:rPr>
          <w:b/>
          <w:color w:val="00878C"/>
          <w:sz w:val="18"/>
        </w:rPr>
        <w:t>07:23–08:36 | 73 seconds</w:t>
      </w:r>
    </w:p>
    <w:p>
      <w:r>
        <w:t>We have now assembled one algorithmic body. That body is only one part of an experiment. The thesis separates organ decisions, system decisions and measurement decisions.</w:t>
      </w:r>
    </w:p>
    <w:p>
      <w:r>
        <w:t>The organ space supplies the strategies we have just composed. System choices supply the execution environment — target ISA, operating system and extension hardware — and permitted hardware-specific facilities. Measurement choices determine how observations are obtained and which workloads and datasets are used. System and measurement are not additional pieces of the storage organ.</w:t>
      </w:r>
    </w:p>
    <w:p>
      <w:r>
        <w:t>These decisions also have binding times. A main strategy is fixed in the compiled candidate. An allowed sub-axis value can be supplied later, for example a prefetch distance or resource budget. The same principle is applied across the staged framework.</w:t>
      </w:r>
    </w:p>
    <w:p>
      <w:r>
        <w:t>For a controlled comparison we keep the relevant system, workload and measurement conditions fixed while changing the intended component. The talk's shorthand for the thesis' main-axis and sub-axis distinction is compile-time composition, runtime parameterization, and measurement-driven binary selection. Let us now make this concrete with one real tree.</w:t>
      </w:r>
    </w:p>
    <w:p>
      <w:pPr>
        <w:pStyle w:val="Heading1"/>
      </w:pPr>
      <w:r>
        <w:t>09  One real tree taken apart: ART's organs</w:t>
      </w:r>
    </w:p>
    <w:p>
      <w:pPr>
        <w:keepNext/>
        <w:spacing w:after="120"/>
      </w:pPr>
      <w:r>
        <w:rPr>
          <w:b/>
          <w:color w:val="00878C"/>
          <w:sz w:val="18"/>
        </w:rPr>
        <w:t>08:36–09:40 | 64 seconds</w:t>
      </w:r>
    </w:p>
    <w:p>
      <w:r>
        <w:t>Here is that tree: the Adaptive Radix Tree, ART. I take it because it is the reference design of the thesis [OPTIONAL-19 — 19-minute route] — because you have already seen its pieces on the last slides — and because my candidate under test, PRT-ART, is derived from it.</w:t>
      </w:r>
    </w:p>
    <w:p>
      <w:r>
        <w:t>Taken apart, ART is a set of organs: its node type is the adaptive node classes Node4, 16, 48 and 256; its memory layout is cache-line aligned; its allocator is mimalloc; it uses no prefetch; its concurrency is optimistic lock coupling; and its values live outside the nodes.</w:t>
      </w:r>
    </w:p>
    <w:p>
      <w:r>
        <w:t>Now the puzzle move: swap one organ and you get a different tree. Put HOT's bit-based node, its path traversal, its allocator and its adaptive prefetch in place of ART's — traversal is not on this slide — and the profile of HOT appears; keep everything else and swap only the value handle for PRT-ART's chain reference, and you have an organ experiment on my own candidate.</w:t>
      </w:r>
    </w:p>
    <w:p>
      <w:pPr>
        <w:spacing w:after="180"/>
      </w:pPr>
      <w:r>
        <w:rPr>
          <w:i/>
          <w:color w:val="657487"/>
          <w:sz w:val="18"/>
        </w:rPr>
        <w:t>Presenter cue — Click 1: the six ART rows appear (T4, T5, T6, T7, T8, T10 with their values); read them top-down. Click 2: the swap column appears (HOT's pieces and PRT-ART's slot).</w:t>
      </w:r>
    </w:p>
    <w:p>
      <w:pPr>
        <w:pStyle w:val="Heading1"/>
      </w:pPr>
      <w:r>
        <w:t>10  The same tree as its XML profile, verbatim</w:t>
      </w:r>
    </w:p>
    <w:p>
      <w:pPr>
        <w:keepNext/>
        <w:spacing w:after="120"/>
      </w:pPr>
      <w:r>
        <w:rPr>
          <w:b/>
          <w:color w:val="00878C"/>
          <w:sz w:val="18"/>
        </w:rPr>
        <w:t>09:40–10:30 | 50 seconds</w:t>
      </w:r>
    </w:p>
    <w:p>
      <w:r>
        <w:t>This is the profile itself, exactly as it is stored in the repository [OPTIONAL-19 — 19-minute route] — twenty-eight lines, nothing hidden. The opening tag gives the identity: the id 'art' and the paper reference P01. The metadata block names the paper, the authors and the year.</w:t>
      </w:r>
    </w:p>
    <w:p>
      <w:r>
        <w:t>The axes block is the dissection from the previous slide, written down: one value per axis. [OPTIONAL-19 — 19-minute route] Node, layout, allocator, prefetch, concurrency — these are the organs we just discussed. The value handle is where PRT-ART would plug in its own piece.</w:t>
      </w:r>
    </w:p>
    <w:p>
      <w:r>
        <w:t>Below that, the key-value signature is the contract the candidate must serve, and the expected workload says what the design was made for. One such file is one candidate. An experiment file lists which axes to permute; the planner does the rest — and that is where we go next.</w:t>
      </w:r>
    </w:p>
    <w:p>
      <w:pPr>
        <w:spacing w:after="180"/>
      </w:pPr>
      <w:r>
        <w:rPr>
          <w:i/>
          <w:color w:val="657487"/>
          <w:sz w:val="18"/>
        </w:rPr>
        <w:t>Presenter cue — Click 1: lines 1–14 of art.profile.xml and the reading-key strip appear. Click 2: lines 15–28 appear; then point line by line: identity, metadata, axes, signature, workload. Reading key strip above the two XML panels (was the right-hand panel); XML at 10 pt.</w:t>
      </w:r>
    </w:p>
    <w:p>
      <w:pPr>
        <w:pStyle w:val="Heading1"/>
      </w:pPr>
      <w:r>
        <w:t>11  The profile binds the pieces of the anatomy</w:t>
      </w:r>
    </w:p>
    <w:p>
      <w:pPr>
        <w:keepNext/>
        <w:spacing w:after="120"/>
      </w:pPr>
      <w:r>
        <w:rPr>
          <w:b/>
          <w:color w:val="00878C"/>
          <w:sz w:val="18"/>
        </w:rPr>
        <w:t>10:30–11:40 | 70 seconds</w:t>
      </w:r>
    </w:p>
    <w:p>
      <w:r>
        <w:t>We now move from the concept to implementation. This is the same profile you have just seen, cut down to three entries: node, layout and allocator bind the three coloured pieces that formed our storage organ. The other entries stay as they were on the previous slide.</w:t>
      </w:r>
    </w:p>
    <w:p>
      <w:r>
        <w:t>These selected implementations become the composed storage organ. That organ is then wired with search and the remaining components, and the complete anatomy is compiled into a candidate binary. The picture on the right is a conceptual translation of the profile, not additional XML syntax.</w:t>
      </w:r>
    </w:p>
    <w:p>
      <w:r>
        <w:t>This is not an interpreter selecting an entire index by name for every lookup. The profile's id and paper_ref are the wired identity; the axes block shown documents the composition in the historical eleven-axis form. Permitted runtime parameters are supplied afterwards through the declared interfaces.</w:t>
      </w:r>
    </w:p>
    <w:p>
      <w:r>
        <w:t>[OPTIONAL-19 — 19-minute route] A larger experiment can request alternative compatible choices.</w:t>
      </w:r>
    </w:p>
    <w:p>
      <w:r>
        <w:t>Each resulting configuration needs a complete composition and an identity. The next slide follows one such assembled candidate through planning, construction and measurement. [OPTIONAL-19 — 19-minute route] The profile label by itself does not establish a completed original-paper benchmark.</w:t>
      </w:r>
    </w:p>
    <w:p>
      <w:pPr>
        <w:spacing w:after="180"/>
      </w:pPr>
      <w:r>
        <w:rPr>
          <w:i/>
          <w:color w:val="657487"/>
          <w:sz w:val="18"/>
        </w:rPr>
        <w:t>Presenter cue — Click 1: bind XML choices to the storage organ. Click 2: wire and compile the complete candidate.</w:t>
      </w:r>
    </w:p>
    <w:p>
      <w:r>
        <w:br w:type="page"/>
      </w:r>
    </w:p>
    <w:p>
      <w:pPr>
        <w:pStyle w:val="Heading1"/>
      </w:pPr>
      <w:r>
        <w:t>12  Build and measure the assembled algorithm</w:t>
      </w:r>
    </w:p>
    <w:p>
      <w:pPr>
        <w:keepNext/>
        <w:spacing w:after="120"/>
      </w:pPr>
      <w:r>
        <w:rPr>
          <w:b/>
          <w:color w:val="00878C"/>
          <w:sz w:val="18"/>
        </w:rPr>
        <w:t>11:40–12:56 | 76 seconds</w:t>
      </w:r>
    </w:p>
    <w:p>
      <w:r>
        <w:t>The experiment XML is validated and planned by the Planner. The CEB stage uses the component library, including declared plugin contributions, to construct the requested candidates. Notice the coloured storage pieces inside the Tier binary: this is exactly the body we assembled on the preceding slides.</w:t>
      </w:r>
    </w:p>
    <w:p>
      <w:r>
        <w:t>Compilation fixes the main composition. Runtime settings are then supplied through the permitted contracts. A Tier binary is one candidate algorithm, not the whole framework and not simply an axis name.</w:t>
      </w:r>
    </w:p>
    <w:p>
      <w:r>
        <w:t>The candidate must pass conformance checks before the workload is driven and observed. The result is attached to the candidate identity and the controlled settings. Build success is not measurement completion.</w:t>
      </w:r>
    </w:p>
    <w:p>
      <w:r>
        <w:t>Valid measurements then enter comparison and selection. The scientific question is which complete composition performs well under a stated workload, and how its component choices contribute to that outcome.</w:t>
      </w:r>
    </w:p>
    <w:p>
      <w:r>
        <w:t>Thus the build apparatus serves the experiment: specification becomes an assembled algorithm, the algorithm becomes a checked observation, and the observation supports a comparison. [OPTIONAL-19 — 19-minute route] Publication automation remains in the backup rather than forming a second story in the main talk. We now turn from building and observing a candidate to three concrete measured comparisons.</w:t>
      </w:r>
    </w:p>
    <w:p>
      <w:pPr>
        <w:spacing w:after="180"/>
      </w:pPr>
      <w:r>
        <w:rPr>
          <w:i/>
          <w:color w:val="657487"/>
          <w:sz w:val="18"/>
        </w:rPr>
        <w:t>Presenter cue — Click 1: conformance, workload drive and valid measurement. Click 2: compare/select the full composition.</w:t>
      </w:r>
    </w:p>
    <w:p>
      <w:pPr>
        <w:pStyle w:val="Heading1"/>
      </w:pPr>
      <w:r>
        <w:t>13  Evaluation: define the comparison first</w:t>
      </w:r>
    </w:p>
    <w:p>
      <w:pPr>
        <w:keepNext/>
        <w:spacing w:after="120"/>
      </w:pPr>
      <w:r>
        <w:rPr>
          <w:b/>
          <w:color w:val="00878C"/>
          <w:sz w:val="18"/>
        </w:rPr>
        <w:t>12:56–14:03 | 67 seconds</w:t>
      </w:r>
    </w:p>
    <w:p>
      <w:r>
        <w:t>The next three slides use the four-axis measurement rebuilt after submission with the thesis toolchain; it is not in the submitted text, which reports only a smoke series. The source data contain 320 candidate binaries, four workloads and three repetitions. All four measured workloads are included; nothing is excluded.</w:t>
      </w:r>
    </w:p>
    <w:p>
      <w:r>
        <w:t>For each contrast, a candidate is matched to its baseline under identical remaining axis choices, runtime setting, workload and repetition. Each plotted marker is the median of those paired differences within one repetition. The repetitions are shown separately; they are not averaged into one apparent measurement.</w:t>
      </w:r>
    </w:p>
    <w:p>
      <w:r>
        <w:t>The plots report relative changes in time. They do not directly establish a causal change in cache-line utilization. The legacy data path and incomplete hardware-counter evidence remain limitations. These plots come from the four-axis measurement rebuilt with the thesis toolchain; the full campaign follows. With that boundary explicit, the measurement illustrates the questions the apparatus is designed to answer.</w:t>
      </w:r>
    </w:p>
    <w:p>
      <w:pPr>
        <w:pStyle w:val="Heading1"/>
      </w:pPr>
      <w:r>
        <w:t>14  Experiment 1: node capacity</w:t>
      </w:r>
    </w:p>
    <w:p>
      <w:pPr>
        <w:keepNext/>
        <w:spacing w:after="120"/>
      </w:pPr>
      <w:r>
        <w:rPr>
          <w:b/>
          <w:color w:val="00878C"/>
          <w:sz w:val="18"/>
        </w:rPr>
        <w:t>14:03–15:26 | 83 seconds</w:t>
      </w:r>
    </w:p>
    <w:p>
      <w:pPr>
        <w:spacing w:after="180"/>
      </w:pPr>
      <w:r>
        <w:rPr>
          <w:i/>
          <w:color w:val="657487"/>
          <w:sz w:val="18"/>
        </w:rPr>
        <w:t>Presenter cue — measurement status (not spoken; slides 14–16): mandatory measurement series A/B (per build) of the thesis: rebuilt with the thesis toolchain (24 Sep 2026); series C (cross-build regression, old vs. new) remains not collected. The four-axis rebuild of these experiments (node type, memory layout, search algorithm, prefetch) completed on 24 Sep 2026; the figures of slides 14–16 now show this rebuild (320 binaries x 4 workloads x 3 repetitions); the scripted time windows of slides 14–16 reflect the updated text.</w:t>
      </w:r>
    </w:p>
    <w:p>
      <w:r>
        <w:t>The first question is whether increasing node capacity always improves lookup performance. The comparison uses the YCSB-C-labelled workload and total nanoseconds per operation, not the lookup median. Node4 is the reference. All remaining settings are matched between each candidate and the baseline.</w:t>
      </w:r>
    </w:p>
    <w:p>
      <w:r>
        <w:t>Read the horizontal axis first. Zero means the same latency as the baseline. Negative values mean lower latency. Each of the three markers is one repetition's median across 80 matched contexts.</w:t>
      </w:r>
    </w:p>
    <w:p>
      <w:r>
        <w:t>In this measurement, Node16 lies between half a percent and two percent below Node4. Node48 now lies slightly above Node4, by under two percent. Node256 lies about one to two percent below Node4. Therefore, larger capacity is not monotonically better in these data.</w:t>
      </w:r>
    </w:p>
    <w:p>
      <w:r>
        <w:t>The physical motivation is a trade-off: capacity can change the number of nodes or allocations, while a larger representation can change the working set and local search cost. The observed curve motivates investigating that trade-off; it does not isolate its hardware cause.</w:t>
      </w:r>
    </w:p>
    <w:p>
      <w:r>
        <w:t>This is not a benchmark of three complete ART implementations, and the names alone do not guarantee the original ART memory layouts. The final interpretation needs the rebuilt operative path and appropriate cache observations. [OPTIONAL — cut reserve] What the present measurement supplies is a concrete, reproducible comparison question: where is the useful capacity range for this operation and workload?</w:t>
      </w:r>
    </w:p>
    <w:p>
      <w:r>
        <w:br w:type="page"/>
      </w:r>
    </w:p>
    <w:p>
      <w:pPr>
        <w:pStyle w:val="Heading1"/>
      </w:pPr>
      <w:r>
        <w:t>15  Experiment 2: workload changes the ranking</w:t>
      </w:r>
    </w:p>
    <w:p>
      <w:pPr>
        <w:keepNext/>
        <w:spacing w:after="120"/>
      </w:pPr>
      <w:r>
        <w:rPr>
          <w:b/>
          <w:color w:val="00878C"/>
          <w:sz w:val="18"/>
        </w:rPr>
        <w:t>15:26–16:53 | 87 seconds</w:t>
      </w:r>
    </w:p>
    <w:p>
      <w:r>
        <w:t>The second comparison asks whether a search method has the same advantage under different workloads. The reference is linear scan. I show two workload labels from the same measurement: YCSB-C and YCSB-A. The three candidate methods are Eytzinger, interpolation and k-ary search.</w:t>
      </w:r>
    </w:p>
    <w:p>
      <w:r>
        <w:t>Again, the horizontal axis is the percentage change in total nanoseconds per operation. Each point is a separate repetition's matched median. Within each contrast, the remaining settings are held equal.</w:t>
      </w:r>
    </w:p>
    <w:p>
      <w:r>
        <w:t>For the read-oriented YCSB-C label, all three candidates are below the linear-scan baseline. Under the mixed YCSB-A label two of the three reverse and fall behind linear scan, while Eytzinger stays ahead under both labels. The important result is the reversal for interpolation and k-ary: their sign against the baseline flips, and the ranking changes with the workload.</w:t>
      </w:r>
    </w:p>
    <w:p>
      <w:r>
        <w:t>This is why the workload must be part of the experimental specification. A method that improves lookup can have additional representation or maintenance costs under updates. A single overall algorithm ranking would hide that interaction.</w:t>
      </w:r>
    </w:p>
    <w:p>
      <w:r>
        <w:t>These timings include more than cache behaviour. Search work, branching, updates and instrumentation can contribute. Therefore the plot supports workload-specific comparison and selection, not a claim that one method universally has better cache utilization. [OPTIONAL — cut reserve] The final campaign should retain the same comparison structure while validating the rebuilt implementations and the exact request sequence.</w:t>
      </w:r>
    </w:p>
    <w:p>
      <w:pPr>
        <w:pStyle w:val="Heading1"/>
      </w:pPr>
      <w:r>
        <w:t>16  Experiment 3: alignment has a cost</w:t>
      </w:r>
    </w:p>
    <w:p>
      <w:pPr>
        <w:keepNext/>
        <w:spacing w:after="120"/>
      </w:pPr>
      <w:r>
        <w:rPr>
          <w:b/>
          <w:color w:val="00878C"/>
          <w:sz w:val="18"/>
        </w:rPr>
        <w:t>16:53–18:32 | 99 seconds</w:t>
      </w:r>
    </w:p>
    <w:p>
      <w:r>
        <w:t>The third question returns directly to the cache-line motivation. Is an explicitly cache-line-aligned layout automatically the better choice? The reference is the compact AoSStrict layout. I show the aligned layout and PackedBitmap under the two workload labels.</w:t>
      </w:r>
    </w:p>
    <w:p>
      <w:r>
        <w:t>For the YCSB-C label, the aligned layout is close to the reference. For YCSB-A, its paired time is about eight to nine percent higher. PackedBitmap now lies clearly above the baseline: about ten percent under the read label and close to seventy percent under the mixed label.</w:t>
      </w:r>
    </w:p>
    <w:p>
      <w:r>
        <w:t>The result is not that alignment is generally harmful; in this measurement the aligned layout carries a cost under the mixed workload. Alignment, field placement and padding are different mechanisms. A representation can align entries while increasing their footprint or the amount of work needed during updates. Conversely, a compact representation can reduce memory traffic without guaranteeing the fastest local computation.</w:t>
      </w:r>
    </w:p>
    <w:p>
      <w:r>
        <w:t>A larger live footprint for the widened layouts was quoted with the pilot but is not backed by a supplied source, and its cache-line-count field is not suitable for deriving utilization across layouts. I therefore do not display a cache-line-utilization percentage or claim that the timing difference was caused by a measured cache miss reduction.</w:t>
      </w:r>
    </w:p>
    <w:p>
      <w:r>
        <w:t>The scientific conclusion is narrower and more useful: representation choices have to be evaluated together with their workload and storage costs. The apparatus makes that question explicit. [OPTIONAL — cut reserve] Final counter-backed measurements are the remaining step from a timing observation to a stronger cache-specific explanation.</w:t>
      </w:r>
    </w:p>
    <w:p>
      <w:r>
        <w:br w:type="page"/>
      </w:r>
    </w:p>
    <w:p>
      <w:pPr>
        <w:pStyle w:val="Heading1"/>
      </w:pPr>
      <w:r>
        <w:t>17  Conclusion: at its core, a white-box auto-tuner</w:t>
      </w:r>
    </w:p>
    <w:p>
      <w:pPr>
        <w:keepNext/>
        <w:spacing w:after="120"/>
      </w:pPr>
      <w:r>
        <w:rPr>
          <w:b/>
          <w:color w:val="00878C"/>
          <w:sz w:val="18"/>
        </w:rPr>
        <w:t>18:32–19:37 | 65 seconds</w:t>
      </w:r>
    </w:p>
    <w:p>
      <w:r>
        <w:t>The thesis turns a practical question about index performance into a structured experiment. Its concept is constructive: choose implementations along design axes, compose working organs, and wire those organs into a complete algorithm. The apparatus then compiles and compares those candidates under common contracts.</w:t>
      </w:r>
    </w:p>
    <w:p>
      <w:r>
        <w:t>The three measured comparisons illustrate why the result must stay attached to its context: node capacity is not monotonically beneficial, search-method effects change with the workload, and alignment is not a substitute for measuring representation cost.</w:t>
      </w:r>
    </w:p>
    <w:p>
      <w:r>
        <w:t>The evidence boundary remains explicit. These are rebuilt four-axis measurement results, not yet the full campaign. Implementing the apparatus and demonstrating a performance advantage are separate obligations.</w:t>
      </w:r>
    </w:p>
    <w:p>
      <w:r>
        <w:t>At its core the system is a white-box auto-tuner: it makes the pieces visible, assembles them into real algorithms, compiles every composition into its own binary, compares them under controlled conditions and selects what the measurements support. Thank you. I welcome your questions.</w:t>
      </w:r>
    </w:p>
    <w:p>
      <w:r>
        <w:br w:type="page"/>
      </w:r>
    </w:p>
    <w:p>
      <w:pPr>
        <w:pStyle w:val="Heading1"/>
      </w:pPr>
      <w:r>
        <w:t>Source review and revision boundary</w:t>
      </w:r>
    </w:p>
    <w:p>
      <w:r>
        <w:t>This appendix is not part of the spoken presentation.</w:t>
      </w:r>
    </w:p>
    <w:p>
      <w:r>
        <w:t xml:space="preserve">Pinned source: </w:t>
      </w:r>
      <w:hyperlink r:id="rId11">
        <w:r>
          <w:rPr>
            <w:color w:val="3468AA"/>
          </w:rPr>
          <w:t>development @53d8c0729439df464fe49db6676d696e9d2a750e</w:t>
        </w:r>
      </w:hyperlink>
      <w:r>
        <w:t xml:space="preserve"> (stand 53d8c072); original review pin was @56a8fe08 (16 Sep 2026).</w:t>
      </w:r>
    </w:p>
    <w:p>
      <w:r>
        <w:t>Reading scope: all six active German main-chapter files and all six German appendix text files A–F were read through the GitHub connector, using bounded ranges and overlapping reads where a response was truncated. The active six-chapter include graph was used; the superseded eight-chapter files were not treated as current. The English translation was not independently re-reviewed in full. The pins were re-set on 22 September 2026 to development 53d8c072 (stand 53d8c072); the English translation is being landed separately and is not cited here. This is not a fresh verification of every cited primary paper or a remeasurement of the generated numerical tables.</w:t>
      </w:r>
    </w:p>
    <w:p>
      <w:pPr>
        <w:spacing w:after="40"/>
      </w:pPr>
      <w:hyperlink r:id="rId12">
        <w:r>
          <w:rPr>
            <w:color w:val="3468AA"/>
          </w:rPr>
          <w:t>kapitel/de/01_einleitung.tex</w:t>
        </w:r>
      </w:hyperlink>
    </w:p>
    <w:p>
      <w:pPr>
        <w:spacing w:after="40"/>
      </w:pPr>
      <w:hyperlink r:id="rId13">
        <w:r>
          <w:rPr>
            <w:color w:val="3468AA"/>
          </w:rPr>
          <w:t>kapitel/de/02_suchbaeume_grundlagen.tex</w:t>
        </w:r>
      </w:hyperlink>
    </w:p>
    <w:p>
      <w:pPr>
        <w:spacing w:after="40"/>
      </w:pPr>
      <w:hyperlink r:id="rId14">
        <w:r>
          <w:rPr>
            <w:color w:val="3468AA"/>
          </w:rPr>
          <w:t>kapitel/de/03_messsystem_prtart.tex</w:t>
        </w:r>
      </w:hyperlink>
    </w:p>
    <w:p>
      <w:pPr>
        <w:spacing w:after="40"/>
      </w:pPr>
      <w:hyperlink r:id="rId15">
        <w:r>
          <w:rPr>
            <w:color w:val="3468AA"/>
          </w:rPr>
          <w:t>kapitel/de/04_implementierung.tex</w:t>
        </w:r>
      </w:hyperlink>
    </w:p>
    <w:p>
      <w:pPr>
        <w:spacing w:after="40"/>
      </w:pPr>
      <w:hyperlink r:id="rId16">
        <w:r>
          <w:rPr>
            <w:color w:val="3468AA"/>
          </w:rPr>
          <w:t>kapitel/de/05_evaluation.tex</w:t>
        </w:r>
      </w:hyperlink>
    </w:p>
    <w:p>
      <w:pPr>
        <w:spacing w:after="40"/>
      </w:pPr>
      <w:hyperlink r:id="rId17">
        <w:r>
          <w:rPr>
            <w:color w:val="3468AA"/>
          </w:rPr>
          <w:t>kapitel/de/06_fazit.tex</w:t>
        </w:r>
      </w:hyperlink>
    </w:p>
    <w:p>
      <w:pPr>
        <w:spacing w:after="40"/>
      </w:pPr>
      <w:hyperlink r:id="rId18">
        <w:r>
          <w:rPr>
            <w:color w:val="3468AA"/>
          </w:rPr>
          <w:t>anhang/de/A_measurements.tex</w:t>
        </w:r>
      </w:hyperlink>
    </w:p>
    <w:p>
      <w:pPr>
        <w:spacing w:after="40"/>
      </w:pPr>
      <w:hyperlink r:id="rId19">
        <w:r>
          <w:rPr>
            <w:color w:val="3468AA"/>
          </w:rPr>
          <w:t>anhang/de/B_code_structure.tex</w:t>
        </w:r>
      </w:hyperlink>
    </w:p>
    <w:p>
      <w:pPr>
        <w:spacing w:after="40"/>
      </w:pPr>
      <w:hyperlink r:id="rId20">
        <w:r>
          <w:rPr>
            <w:color w:val="3468AA"/>
          </w:rPr>
          <w:t>anhang/de/C_glossary.tex</w:t>
        </w:r>
      </w:hyperlink>
    </w:p>
    <w:p>
      <w:pPr>
        <w:spacing w:after="40"/>
      </w:pPr>
      <w:hyperlink r:id="rId21">
        <w:r>
          <w:rPr>
            <w:color w:val="3468AA"/>
          </w:rPr>
          <w:t>anhang/de/D_building_block_matrix.tex</w:t>
        </w:r>
      </w:hyperlink>
    </w:p>
    <w:p>
      <w:pPr>
        <w:spacing w:after="40"/>
      </w:pPr>
      <w:hyperlink r:id="rId22">
        <w:r>
          <w:rPr>
            <w:color w:val="3468AA"/>
          </w:rPr>
          <w:t>anhang/de/E_architecture_decisions.tex</w:t>
        </w:r>
      </w:hyperlink>
    </w:p>
    <w:p>
      <w:pPr>
        <w:spacing w:after="40"/>
      </w:pPr>
      <w:hyperlink r:id="rId23">
        <w:r>
          <w:rPr>
            <w:color w:val="3468AA"/>
          </w:rPr>
          <w:t>anhang/de/F_comparison_interfaces.tex</w:t>
        </w:r>
      </w:hyperlink>
    </w:p>
    <w:p>
      <w:pPr>
        <w:pStyle w:val="Heading2"/>
      </w:pPr>
      <w:r>
        <w:t>Decisive source statements</w:t>
      </w:r>
    </w:p>
    <w:p>
      <w:r>
        <w:t>Chapter 3, §3.3.1 (figures “axis-organ” and “usage”) (long version; not in the submitted short version): the storage organ composes node type, layout and allocator and exports StorageOrgan. Search must consume it. Anatomy means wiring as well as composition. Prefetch and telemetry edges are optional hooks; the concurrency-to-store edge is explicitly not yet wired in that figure. Re-checked at development 53d8c072: unchanged.</w:t>
      </w:r>
    </w:p>
    <w:p>
      <w:r>
        <w:t>Appendix D, T4: the concrete store descriptions distinguish NodeTypeSlotStore, ComposedStore, NodeChunkedStore and LayoutAwareChunkedStore. Appendix C and the catalogue also use “organ” for an elementary axis slot. The revised slides keep this distinction visible instead of creating a universal extra layer or an additional nineteenth composition slot.</w:t>
      </w:r>
    </w:p>
    <w:p>
      <w:pPr>
        <w:pStyle w:val="Heading2"/>
      </w:pPr>
      <w:r>
        <w:t>Changed material</w:t>
      </w:r>
    </w:p>
    <w:p>
      <w:r>
        <w:t>Slides 6 and 7 now show construction and wiring. Slide 11 binds the same three pieces to a readable extract of the actual ART profile. Slide 12 and the hidden extra slide X1 (the former slide 13) reuse the assembled storage organ inside the candidate and the observation hierarchy. Slide 2 now points to the highlighted “cat” record. Slide 17 names composition explicitly. Backup B8 documents the two abstraction levels. The main route remained 15 slides, scripted at 1,175 seconds (re-cut on 22 September 2026 from 1,140 seconds to carry the added thesis wording), until the restructuring of 22 September 2026 (Order 405, next paragraph); the original result slides 13–16 are structurally unchanged.</w:t>
      </w:r>
    </w:p>
    <w:p>
      <w:r>
        <w:t>The selected values Node4 / cache-line-aligned layout / mimalloc are used as a framework composition example. The profile label is not evidence that this is an unmodified original ART implementation or a new performance result. Native click-entrance groups are present in the PowerPoint; the PDF shows the fully revealed end states.</w:t>
      </w:r>
    </w:p>
    <w:p>
      <w:r>
        <w:t>Order 405 (22 September 2026, supervisor analysis of 18 September 2026): three text-only slides added (5 the puzzle system, 9 ART taken apart with HOT's swaps, 10 art.profile.xml verbatim); related work (3) moved before the roadmap (4); the conclusion title carries the core sentence “at its core, a white-box auto-tuner”; two routes (25-minute frame / 19-minute route) from one script; eight native click steps unchanged, now on slides 6, 7, 11 and 12 (Fix 405-r2, Order 419: six more on slides 5, 9 and 10, fourteen in total); no picture, chart or table was added, removed or redrawn.</w:t>
      </w:r>
    </w:p>
    <w:p>
      <w:r>
        <w:t>Orders 418/419 (22 September 2026, Fix 405-r2): the 19-minute route is the Monday route — the time lines of this guide and the slide headers of the notes carry it, the full script of the 25-minute frame is the table below; slide 13 'Measure the algorithm and its organs' became the hidden extra slide X1 after backup B8 (not in the Monday route; its spoken text is kept as a reserve at the end of this appendix); the main route has 17 slides (the former slides 14–18 are 13–17; the eight click steps of the Composition stay on 6, 7, 11 and 12); six native click steps added on slides 5, 9 and 10 (two each, the same appear-entrance pattern), fourteen in total; no picture, chart or table was added, removed or redrawn.</w:t>
      </w:r>
    </w:p>
    <w:p>
      <w:r>
        <w:t>Thesis stands: long version development 783f8973; submitted short version bau/kurzfassung-346 a0b9e2c1 (identical section numbering; chapter-3 figures 3.1–3.9).</w:t>
      </w:r>
    </w:p>
    <w:p>
      <w:r>
        <w:t>Full script (25-minute frame), windows per slide at 2.3 words per second, 2855 words = 20:41: 01 00:00–00:21 · 02 00:21–01:38 · 03 01:38–02:56 · 04 02:56–03:34 · 05 03:34–04:44 · 06 04:44–06:17 · 07 06:17–07:33 · 08 07:33–08:46 · 09 08:46–09:56 · 10 09:56–10:54 · 11 10:54–12:12 · 12 12:12–13:35 · 13 13:35–14:42 · 14 14:42–16:15 · 15 16:15–17:50 · 16 17:50–19:36 · 17 19:36–20:41. The time lines above carry the 19-minute route (Monday route, cuts applied): 2709 words = 19:37.</w:t>
      </w:r>
    </w:p>
    <w:p>
      <w:r>
        <w:t>Emergency ladder (19-minute route = Monday route, only if the stopwatch runs slower than 2.3 words per second): E1 drop the closing paragraphs of slides 6 and 7 (34 + 25 words): 2650 words = 19:12 at 2.3 words per second / 21:17 at 125 words per minute; E2 halve paragraph 3 of slide 13 (about 30 words): 2620 words = 18:59 at 2.3 words per second / 21:03 at 125 words per minute; E3 halve the cache-line paragraph of slide 3 (about 35 words): 2585 words = 18:44 at 2.3 words per second / 20:46 at 125 words per minute; E4 drop the binding-times paragraph of slide 8 (paragraph 3, 40 words; the slide itself shows both binding times): 2545 words = 18:27 at 2.3 words per second / 20:27 at 125 words per minute; E5 re-apply the two [OPTIONAL-19] cuts restored for the corridor (the four-step list of slide 4 and the example decisions of slide 5, 22 + 18 words): 2505 words = 18:09 at 2.3 words per second / 20:07 at 125 words per minute. At 2.3 words per second the Monday route meets the corridor 19:20–19:40 without the ladder; at the slower comparison pace of 125 words per minute the ladder down to E5 reaches 20:07, 7 seconds over the hard window 20:00. The former step E1 (skip slide 13) is void: that slide is the hidden extra slide X1 outside the route.</w:t>
      </w:r>
    </w:p>
    <w:p>
      <w:pPr>
        <w:pStyle w:val="Heading2"/>
      </w:pPr>
      <w:r>
        <w:t>Extra slide (hidden): Measure the algorithm and its organs</w:t>
      </w:r>
    </w:p>
    <w:p>
      <w:pPr>
        <w:keepNext/>
        <w:spacing w:after="120"/>
      </w:pPr>
      <w:r>
        <w:rPr>
          <w:b/>
          <w:color w:val="00878C"/>
          <w:sz w:val="18"/>
        </w:rPr>
        <w:t>EXTRA SLIDE (hidden, after the backup) | not in the Monday route</w:t>
      </w:r>
    </w:p>
    <w:p>
      <w:r>
        <w:t>Hidden extra slide X1 after backup B8 (Orders 418/419, Fix 405-r2); not in the Monday route; the spoken text below is kept as a reserve for questions (184 words, 80 seconds at 2.3 words per second; its [OPTIONAL-19] markers no longer apply).</w:t>
      </w:r>
    </w:p>
    <w:p>
      <w:r>
        <w:t>The same assembled algorithm is observed at three granularities — wallclock, macro and micro in the thesis. The outer frame is the complete request sequence. Inside it is one interface operation, such as find cat. Inside that operation, search uses the composed storage organ, whose node, layout and allocator choices remain visible.</w:t>
      </w:r>
    </w:p>
    <w:p>
      <w:r>
        <w:t>[OPTIONAL-19 — 19-minute route] This nesting is the reason to assemble components before comparing them. A cheap component does not necessarily produce the cheapest whole algorithm: it can change allocation frequency, byte layout, or the work of the search consumer. The interaction is part of the experiment.</w:t>
      </w:r>
    </w:p>
    <w:p>
      <w:r>
        <w:t>[OPTIONAL-19 — 19-minute route] The probe dock — one per genus — drives operations under a common contract and obtains the appropriate observations. Unsupported operations must not become zero-cost successes. Missing counters remain missing. Component measurements also must not be added as if they were non-overlapping workload times unless that relationship has actually been established.</w:t>
      </w:r>
    </w:p>
    <w:p>
      <w:r>
        <w:t>PRT-ART can contribute new compatible pieces to this same construction and measurement path. It does not get a separate favourable benchmark. We can now turn from how a candidate is built and observed to three concrete measured comparisons.</w:t>
      </w:r>
    </w:p>
    <w:p>
      <w:r>
        <w:br w:type="page"/>
      </w:r>
    </w:p>
    <w:sectPr w:rsidR="00FC693F" w:rsidRPr="0006063C" w:rsidSect="00034616">
      <w:headerReference w:type="default" r:id="rId9"/>
      <w:footerReference w:type="default" r:id="rId10"/>
      <w:pgSz w:w="11909" w:h="16834"/>
      <w:pgMar w:top="950" w:right="1094" w:bottom="950"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Benjamin-Elias Probst  •  Composition revision, re-pinned 22 Sep 2026; restructured 22 Sep 2026 (Order 405)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57487"/>
        <w:sz w:val="16"/>
      </w:rPr>
      <w:t>DIPLOMA THESIS DEFENSE  |  AXES → ORGANS → ALGORITHM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w:hAnsi="Noto Sans"/>
      <w:color w:val="2336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041447"/>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04144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Noto Sans" w:hAnsi="Noto Sans"/>
      <w:color w:val="0414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Noto Sans" w:hAnsi="Noto Sans"/>
      <w:color w:val="23364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enniProbst/20260931-Overleaf-Diplomarbeit/blob/53d8c0729439df464fe49db6676d696e9d2a750e/" TargetMode="External"/><Relationship Id="rId12" Type="http://schemas.openxmlformats.org/officeDocument/2006/relationships/hyperlink" Target="https://github.com/BenniProbst/20260931-Overleaf-Diplomarbeit/blob/53d8c0729439df464fe49db6676d696e9d2a750e/kapitel/de/01_einleitung.tex" TargetMode="External"/><Relationship Id="rId13" Type="http://schemas.openxmlformats.org/officeDocument/2006/relationships/hyperlink" Target="https://github.com/BenniProbst/20260931-Overleaf-Diplomarbeit/blob/53d8c0729439df464fe49db6676d696e9d2a750e/kapitel/de/02_suchbaeume_grundlagen.tex" TargetMode="External"/><Relationship Id="rId14" Type="http://schemas.openxmlformats.org/officeDocument/2006/relationships/hyperlink" Target="https://github.com/BenniProbst/20260931-Overleaf-Diplomarbeit/blob/53d8c0729439df464fe49db6676d696e9d2a750e/kapitel/de/03_messsystem_prtart.tex" TargetMode="External"/><Relationship Id="rId15" Type="http://schemas.openxmlformats.org/officeDocument/2006/relationships/hyperlink" Target="https://github.com/BenniProbst/20260931-Overleaf-Diplomarbeit/blob/53d8c0729439df464fe49db6676d696e9d2a750e/kapitel/de/04_implementierung.tex" TargetMode="External"/><Relationship Id="rId16" Type="http://schemas.openxmlformats.org/officeDocument/2006/relationships/hyperlink" Target="https://github.com/BenniProbst/20260931-Overleaf-Diplomarbeit/blob/53d8c0729439df464fe49db6676d696e9d2a750e/kapitel/de/05_evaluation.tex" TargetMode="External"/><Relationship Id="rId17" Type="http://schemas.openxmlformats.org/officeDocument/2006/relationships/hyperlink" Target="https://github.com/BenniProbst/20260931-Overleaf-Diplomarbeit/blob/53d8c0729439df464fe49db6676d696e9d2a750e/kapitel/de/06_fazit.tex" TargetMode="External"/><Relationship Id="rId18" Type="http://schemas.openxmlformats.org/officeDocument/2006/relationships/hyperlink" Target="https://github.com/BenniProbst/20260931-Overleaf-Diplomarbeit/blob/53d8c0729439df464fe49db6676d696e9d2a750e/anhang/de/A_measurements.tex" TargetMode="External"/><Relationship Id="rId19" Type="http://schemas.openxmlformats.org/officeDocument/2006/relationships/hyperlink" Target="https://github.com/BenniProbst/20260931-Overleaf-Diplomarbeit/blob/53d8c0729439df464fe49db6676d696e9d2a750e/anhang/de/B_code_structure.tex" TargetMode="External"/><Relationship Id="rId20" Type="http://schemas.openxmlformats.org/officeDocument/2006/relationships/hyperlink" Target="https://github.com/BenniProbst/20260931-Overleaf-Diplomarbeit/blob/53d8c0729439df464fe49db6676d696e9d2a750e/anhang/de/C_glossary.tex" TargetMode="External"/><Relationship Id="rId21" Type="http://schemas.openxmlformats.org/officeDocument/2006/relationships/hyperlink" Target="https://github.com/BenniProbst/20260931-Overleaf-Diplomarbeit/blob/53d8c0729439df464fe49db6676d696e9d2a750e/anhang/de/D_building_block_matrix.tex" TargetMode="External"/><Relationship Id="rId22" Type="http://schemas.openxmlformats.org/officeDocument/2006/relationships/hyperlink" Target="https://github.com/BenniProbst/20260931-Overleaf-Diplomarbeit/blob/53d8c0729439df464fe49db6676d696e9d2a750e/anhang/de/E_architecture_decisions.tex" TargetMode="External"/><Relationship Id="rId23" Type="http://schemas.openxmlformats.org/officeDocument/2006/relationships/hyperlink" Target="https://github.com/BenniProbst/20260931-Overleaf-Diplomarbeit/blob/53d8c0729439df464fe49db6676d696e9d2a750e/anhang/de/F_comparison_interfaces.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 Engine Defense — Speaker Guide, Composition Revision</dc:title>
  <dc:subject/>
  <dc:creator>Benjamin-Elias Probst</dc:creator>
  <cp:keywords/>
  <dc:description>generated by python-docx</dc:description>
  <cp:lastModifiedBy/>
  <cp:revision>1</cp:revision>
  <dcterms:created xsi:type="dcterms:W3CDTF">2013-12-23T23:15:00Z</dcterms:created>
  <dcterms:modified xsi:type="dcterms:W3CDTF">2013-12-23T23:15:00Z</dcterms:modified>
  <cp:category/>
</cp:coreProperties>
</file>