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spacing w:after="360"/>
        <w:jc w:val="center"/>
      </w:pPr>
      <w:r>
        <w:rPr>
          <w:rFonts w:ascii="PingFang SC" w:hAnsi="PingFang SC" w:eastAsia="PingFang SC"/>
          <w:b/>
          <w:color w:val="A17A2D"/>
          <w:sz w:val="20"/>
        </w:rPr>
        <w:t>COURSE PROJECT REPORT</w:t>
      </w:r>
    </w:p>
    <w:p>
      <w:pPr>
        <w:spacing w:after="240"/>
        <w:jc w:val="center"/>
      </w:pPr>
      <w:r>
        <w:rPr>
          <w:rFonts w:ascii="PingFang SC" w:hAnsi="PingFang SC" w:eastAsia="PingFang SC"/>
          <w:b/>
          <w:color w:val="0B2545"/>
          <w:sz w:val="54"/>
        </w:rPr>
        <w:t>基于实时行情与大语言模型的</w:t>
        <w:br/>
        <w:t>量化回测平台设计与实现</w:t>
      </w:r>
    </w:p>
    <w:p>
      <w:pPr>
        <w:spacing w:after="520"/>
        <w:jc w:val="center"/>
      </w:pPr>
      <w:r>
        <w:rPr>
          <w:rFonts w:ascii="PingFang SC" w:hAnsi="PingFang SC" w:eastAsia="PingFang SC"/>
          <w:color w:val="1F4D78"/>
          <w:sz w:val="26"/>
        </w:rPr>
        <w:t>Vue 3 + FastAPI + Python Quant Engine + Google Gemini</w:t>
      </w:r>
    </w:p>
    <w:p>
      <w:pPr>
        <w:spacing w:after="160"/>
        <w:jc w:val="center"/>
      </w:pPr>
      <w:r>
        <w:rPr>
          <w:rFonts w:ascii="PingFang SC" w:hAnsi="PingFang SC" w:eastAsia="PingFang SC"/>
          <w:b/>
          <w:color w:val="5A626C"/>
          <w:sz w:val="22"/>
        </w:rPr>
        <w:t>项目状态：课程结项演示版</w:t>
      </w:r>
    </w:p>
    <w:p>
      <w:pPr>
        <w:jc w:val="center"/>
      </w:pPr>
      <w:r>
        <w:rPr>
          <w:rFonts w:ascii="PingFang SC" w:hAnsi="PingFang SC" w:eastAsia="PingFang SC"/>
          <w:color w:val="5A626C"/>
          <w:sz w:val="22"/>
        </w:rPr>
        <w:t>报告日期：2026 年 6 月 15 日</w:t>
      </w:r>
    </w:p>
    <w:p/>
    <w:p/>
    <w:p/>
    <w:p/>
    <w:p/>
    <w:p>
      <w:pPr>
        <w:spacing w:before="360"/>
        <w:jc w:val="center"/>
      </w:pPr>
      <w:r>
        <w:rPr>
          <w:rFonts w:ascii="PingFang SC" w:hAnsi="PingFang SC" w:eastAsia="PingFang SC"/>
          <w:color w:val="A17A2D"/>
          <w:sz w:val="21"/>
        </w:rPr>
        <w:t>虚拟货币现货研究 · 实时 K 线 · 异步回测 · AI 风险分析</w:t>
      </w:r>
    </w:p>
    <w:p>
      <w:r>
        <w:br w:type="page"/>
      </w:r>
    </w:p>
    <w:p>
      <w:pPr>
        <w:pStyle w:val="Heading1"/>
      </w:pPr>
      <w:r>
        <w:t>摘要</w:t>
      </w:r>
    </w:p>
    <w:p>
      <w:pPr>
        <w:widowControl/>
      </w:pPr>
      <w:r>
        <w:rPr>
          <w:rFonts w:ascii="PingFang SC" w:hAnsi="PingFang SC" w:eastAsia="PingFang SC"/>
          <w:sz w:val="22"/>
        </w:rPr>
        <w:t>本项目设计并实现了一套面向虚拟货币现货研究的工程化量化回测平台。系统采用 Vue 3、FastAPI、SQLAlchemy、SQLite 与 Python 量化引擎构建，覆盖用户认证、实时 K 线采集与存储、策略管理、异步回测、风险指标分析和大语言模型辅助决策等功能。平台从 Binance 公开接口增量同步 BTCUSDT、ETHUSDT 多周期 K 线，将数据持久化并检查新鲜度、断档和缺失数量；回测引擎支持均线交叉和 RSI 反转等策略，输出收益率、最大回撤、夏普比率、胜率、交易记录与权益曲线；AI 模块将回测结构化指标提交给 Google Gemini，生成风险等级、优势、警告、适配场景、执行计划和建议参数，并保留 OpenAI 与本地规则引擎切换能力。</w:t>
      </w:r>
    </w:p>
    <w:p>
      <w:pPr>
        <w:widowControl/>
      </w:pPr>
      <w:r>
        <w:rPr>
          <w:rFonts w:ascii="PingFang SC" w:hAnsi="PingFang SC" w:eastAsia="PingFang SC"/>
          <w:sz w:val="22"/>
        </w:rPr>
        <w:t>截至 2026 年 6 月 15 日，本地演示数据库包含 33 条回测记录、10 条 AI 分析记录和 3992 根 K 线，最新 K 线时间为 2026-06-15 02:56。后端 16 项自动化测试全部通过，前端生产构建成功。项目已经形成“实时行情 -&gt; 策略回测 -&gt; 指标评估 -&gt; AI 分析 -&gt; 参数迭代”的完整课程演示闭环。</w:t>
      </w:r>
    </w:p>
    <w:p>
      <w:pPr>
        <w:widowControl/>
      </w:pPr>
      <w:r>
        <w:rPr>
          <w:rFonts w:ascii="PingFang SC" w:hAnsi="PingFang SC" w:eastAsia="PingFang SC"/>
          <w:b/>
          <w:sz w:val="22"/>
        </w:rPr>
        <w:t>关键词：</w:t>
      </w:r>
      <w:r>
        <w:rPr>
          <w:rFonts w:ascii="PingFang SC" w:hAnsi="PingFang SC" w:eastAsia="PingFang SC"/>
          <w:sz w:val="22"/>
        </w:rPr>
        <w:t xml:space="preserve"> 量化回测；实时 K 线；虚拟货币；FastAPI；Vue 3；Google Gemini；工程化</w:t>
      </w:r>
    </w:p>
    <w:p>
      <w:pPr>
        <w:pStyle w:val="Heading1"/>
      </w:pPr>
      <w:r>
        <w:t>1. 项目背景与目标</w:t>
      </w:r>
    </w:p>
    <w:p>
      <w:pPr>
        <w:widowControl/>
      </w:pPr>
      <w:r>
        <w:rPr>
          <w:rFonts w:ascii="PingFang SC" w:hAnsi="PingFang SC" w:eastAsia="PingFang SC"/>
          <w:sz w:val="22"/>
        </w:rPr>
        <w:t>量化交易研究通常涉及行情获取、策略开发、历史回测、指标分析和结果解释。传统脚本式研究容易出现数据来源分散、参数难以复现、结果缺少持久化、非技术用户难以理解等问题。本项目的目标不是直接构建实盘交易系统，而是先完成一套边界清晰、可重复运行、适合课程展示和后续扩展的量化研究平台。</w:t>
      </w:r>
    </w:p>
    <w:p>
      <w:pPr>
        <w:widowControl/>
      </w:pPr>
      <w:r>
        <w:rPr>
          <w:rFonts w:ascii="PingFang SC" w:hAnsi="PingFang SC" w:eastAsia="PingFang SC"/>
          <w:sz w:val="22"/>
        </w:rPr>
        <w:t>项目目标包括：</w:t>
      </w:r>
    </w:p>
    <w:p>
      <w:pPr>
        <w:pStyle w:val="ListNumber"/>
      </w:pPr>
      <w:r>
        <w:rPr>
          <w:rFonts w:ascii="PingFang SC" w:hAnsi="PingFang SC" w:eastAsia="PingFang SC"/>
          <w:sz w:val="22"/>
        </w:rPr>
        <w:t>建立独立注册、登录和用户数据隔离能力。</w:t>
      </w:r>
    </w:p>
    <w:p>
      <w:pPr>
        <w:pStyle w:val="ListNumber"/>
      </w:pPr>
      <w:r>
        <w:rPr>
          <w:rFonts w:ascii="PingFang SC" w:hAnsi="PingFang SC" w:eastAsia="PingFang SC"/>
          <w:sz w:val="22"/>
        </w:rPr>
        <w:t>支持虚拟货币多周期实时 K 线拉取、存储和观察。</w:t>
      </w:r>
    </w:p>
    <w:p>
      <w:pPr>
        <w:pStyle w:val="ListNumber"/>
      </w:pPr>
      <w:r>
        <w:rPr>
          <w:rFonts w:ascii="PingFang SC" w:hAnsi="PingFang SC" w:eastAsia="PingFang SC"/>
          <w:sz w:val="22"/>
        </w:rPr>
        <w:t>支持策略参数配置、异步回测和历史结果查询。</w:t>
      </w:r>
    </w:p>
    <w:p>
      <w:pPr>
        <w:pStyle w:val="ListNumber"/>
      </w:pPr>
      <w:r>
        <w:rPr>
          <w:rFonts w:ascii="PingFang SC" w:hAnsi="PingFang SC" w:eastAsia="PingFang SC"/>
          <w:sz w:val="22"/>
        </w:rPr>
        <w:t>以图表方式展示 K 线、成交量、交易标记和权益变化。</w:t>
      </w:r>
    </w:p>
    <w:p>
      <w:pPr>
        <w:pStyle w:val="ListNumber"/>
      </w:pPr>
      <w:r>
        <w:rPr>
          <w:rFonts w:ascii="PingFang SC" w:hAnsi="PingFang SC" w:eastAsia="PingFang SC"/>
          <w:sz w:val="22"/>
        </w:rPr>
        <w:t>接入真实大语言模型，对回测结果生成结构化投研建议。</w:t>
      </w:r>
    </w:p>
    <w:p>
      <w:pPr>
        <w:pStyle w:val="ListNumber"/>
      </w:pPr>
      <w:r>
        <w:rPr>
          <w:rFonts w:ascii="PingFang SC" w:hAnsi="PingFang SC" w:eastAsia="PingFang SC"/>
          <w:sz w:val="22"/>
        </w:rPr>
        <w:t>通过配置、数据库迁移、测试和启动脚本体现工程化能力。</w:t>
      </w:r>
    </w:p>
    <w:p>
      <w:pPr>
        <w:widowControl/>
      </w:pPr>
      <w:r>
        <w:rPr>
          <w:rFonts w:ascii="PingFang SC" w:hAnsi="PingFang SC" w:eastAsia="PingFang SC"/>
          <w:sz w:val="22"/>
        </w:rPr>
        <w:t>课程结项范围限定为虚拟货币现货只做多研究。期货双向、美股和真实下单不属于本阶段交付内容。</w:t>
      </w:r>
    </w:p>
    <w:p>
      <w:pPr>
        <w:pStyle w:val="Heading1"/>
      </w:pPr>
      <w:r>
        <w:t>2. 需求分析</w:t>
      </w:r>
    </w:p>
    <w:p>
      <w:pPr>
        <w:pStyle w:val="Heading2"/>
      </w:pPr>
      <w:r>
        <w:t>2.1 功能需求</w:t>
      </w:r>
    </w:p>
    <w:p>
      <w:pPr>
        <w:pStyle w:val="ListBullet"/>
      </w:pPr>
      <w:r>
        <w:rPr>
          <w:rFonts w:ascii="PingFang SC" w:hAnsi="PingFang SC" w:eastAsia="PingFang SC"/>
          <w:sz w:val="22"/>
        </w:rPr>
        <w:t>用户注册、登录、退出和访问令牌校验。</w:t>
      </w:r>
    </w:p>
    <w:p>
      <w:pPr>
        <w:pStyle w:val="ListBullet"/>
      </w:pPr>
      <w:r>
        <w:rPr>
          <w:rFonts w:ascii="PingFang SC" w:hAnsi="PingFang SC" w:eastAsia="PingFang SC"/>
          <w:sz w:val="22"/>
        </w:rPr>
        <w:t>BTCUSDT、ETHUSDT 行情标的选择。</w:t>
      </w:r>
    </w:p>
    <w:p>
      <w:pPr>
        <w:pStyle w:val="ListBullet"/>
      </w:pPr>
      <w:r>
        <w:rPr>
          <w:rFonts w:ascii="PingFang SC" w:hAnsi="PingFang SC" w:eastAsia="PingFang SC"/>
          <w:sz w:val="22"/>
        </w:rPr>
        <w:t>1m、5m、15m、1h、1d 等 K 线周期选择。</w:t>
      </w:r>
    </w:p>
    <w:p>
      <w:pPr>
        <w:pStyle w:val="ListBullet"/>
      </w:pPr>
      <w:r>
        <w:rPr>
          <w:rFonts w:ascii="PingFang SC" w:hAnsi="PingFang SC" w:eastAsia="PingFang SC"/>
          <w:sz w:val="22"/>
        </w:rPr>
        <w:t>Binance 行情增量同步与 SQLite 持久化。</w:t>
      </w:r>
    </w:p>
    <w:p>
      <w:pPr>
        <w:pStyle w:val="ListBullet"/>
      </w:pPr>
      <w:r>
        <w:rPr>
          <w:rFonts w:ascii="PingFang SC" w:hAnsi="PingFang SC" w:eastAsia="PingFang SC"/>
          <w:sz w:val="22"/>
        </w:rPr>
        <w:t>行情新鲜度、缺口和缺失 K 线检查。</w:t>
      </w:r>
    </w:p>
    <w:p>
      <w:pPr>
        <w:pStyle w:val="ListBullet"/>
      </w:pPr>
      <w:r>
        <w:rPr>
          <w:rFonts w:ascii="PingFang SC" w:hAnsi="PingFang SC" w:eastAsia="PingFang SC"/>
          <w:sz w:val="22"/>
        </w:rPr>
        <w:t>均线交叉、RSI 反转和自定义策略管理。</w:t>
      </w:r>
    </w:p>
    <w:p>
      <w:pPr>
        <w:pStyle w:val="ListBullet"/>
      </w:pPr>
      <w:r>
        <w:rPr>
          <w:rFonts w:ascii="PingFang SC" w:hAnsi="PingFang SC" w:eastAsia="PingFang SC"/>
          <w:sz w:val="22"/>
        </w:rPr>
        <w:t>回测区间、初始资金和策略参数配置。</w:t>
      </w:r>
    </w:p>
    <w:p>
      <w:pPr>
        <w:pStyle w:val="ListBullet"/>
      </w:pPr>
      <w:r>
        <w:rPr>
          <w:rFonts w:ascii="PingFang SC" w:hAnsi="PingFang SC" w:eastAsia="PingFang SC"/>
          <w:sz w:val="22"/>
        </w:rPr>
        <w:t>异步任务状态、取消、失败重试和历史查询。</w:t>
      </w:r>
    </w:p>
    <w:p>
      <w:pPr>
        <w:pStyle w:val="ListBullet"/>
      </w:pPr>
      <w:r>
        <w:rPr>
          <w:rFonts w:ascii="PingFang SC" w:hAnsi="PingFang SC" w:eastAsia="PingFang SC"/>
          <w:sz w:val="22"/>
        </w:rPr>
        <w:t>收益率、年化收益、最大回撤、夏普比率、胜率等指标展示。</w:t>
      </w:r>
    </w:p>
    <w:p>
      <w:pPr>
        <w:pStyle w:val="ListBullet"/>
      </w:pPr>
      <w:r>
        <w:rPr>
          <w:rFonts w:ascii="PingFang SC" w:hAnsi="PingFang SC" w:eastAsia="PingFang SC"/>
          <w:sz w:val="22"/>
        </w:rPr>
        <w:t>Gemini、OpenAI 和本地引擎三种 AI 分析模式。</w:t>
      </w:r>
    </w:p>
    <w:p>
      <w:pPr>
        <w:pStyle w:val="ListBullet"/>
      </w:pPr>
      <w:r>
        <w:rPr>
          <w:rFonts w:ascii="PingFang SC" w:hAnsi="PingFang SC" w:eastAsia="PingFang SC"/>
          <w:sz w:val="22"/>
        </w:rPr>
        <w:t>AI 结果持久化和历史分析查询。</w:t>
      </w:r>
    </w:p>
    <w:p>
      <w:pPr>
        <w:pStyle w:val="Heading2"/>
      </w:pPr>
      <w:r>
        <w:t>2.2 非功能需求</w:t>
      </w:r>
    </w:p>
    <w:p>
      <w:pPr>
        <w:pStyle w:val="ListBullet"/>
      </w:pPr>
      <w:r>
        <w:rPr>
          <w:rFonts w:ascii="PingFang SC" w:hAnsi="PingFang SC" w:eastAsia="PingFang SC"/>
          <w:sz w:val="22"/>
        </w:rPr>
        <w:t>可复现：网络异常时可使用数据库缓存和 CSV 样例。</w:t>
      </w:r>
    </w:p>
    <w:p>
      <w:pPr>
        <w:pStyle w:val="ListBullet"/>
      </w:pPr>
      <w:r>
        <w:rPr>
          <w:rFonts w:ascii="PingFang SC" w:hAnsi="PingFang SC" w:eastAsia="PingFang SC"/>
          <w:sz w:val="22"/>
        </w:rPr>
        <w:t>可维护：前端、后端和量化引擎职责分离。</w:t>
      </w:r>
    </w:p>
    <w:p>
      <w:pPr>
        <w:pStyle w:val="ListBullet"/>
      </w:pPr>
      <w:r>
        <w:rPr>
          <w:rFonts w:ascii="PingFang SC" w:hAnsi="PingFang SC" w:eastAsia="PingFang SC"/>
          <w:sz w:val="22"/>
        </w:rPr>
        <w:t>可测试：核心服务和量化计算具备自动化测试。</w:t>
      </w:r>
    </w:p>
    <w:p>
      <w:pPr>
        <w:pStyle w:val="ListBullet"/>
      </w:pPr>
      <w:r>
        <w:rPr>
          <w:rFonts w:ascii="PingFang SC" w:hAnsi="PingFang SC" w:eastAsia="PingFang SC"/>
          <w:sz w:val="22"/>
        </w:rPr>
        <w:t>可演示：一条命令启动，固定端口并提供自检脚本。</w:t>
      </w:r>
    </w:p>
    <w:p>
      <w:pPr>
        <w:pStyle w:val="ListBullet"/>
      </w:pPr>
      <w:r>
        <w:rPr>
          <w:rFonts w:ascii="PingFang SC" w:hAnsi="PingFang SC" w:eastAsia="PingFang SC"/>
          <w:sz w:val="22"/>
        </w:rPr>
        <w:t>可扩展：数据源、模型 provider 和策略实现均保留扩展边界。</w:t>
      </w:r>
    </w:p>
    <w:p>
      <w:r>
        <w:br w:type="page"/>
      </w:r>
    </w:p>
    <w:p>
      <w:pPr>
        <w:pStyle w:val="Heading1"/>
      </w:pPr>
      <w:r>
        <w:t>3. 系统总体设计</w:t>
      </w:r>
    </w:p>
    <w:p>
      <w:pPr>
        <w:widowControl/>
      </w:pPr>
      <w:r>
        <w:rPr>
          <w:rFonts w:ascii="PingFang SC" w:hAnsi="PingFang SC" w:eastAsia="PingFang SC"/>
          <w:sz w:val="22"/>
        </w:rPr>
        <w:t>系统采用前后端分离架构，量化引擎作为独立 Python 包由后端调用。</w:t>
      </w:r>
    </w:p>
    <w:p>
      <w:pPr>
        <w:spacing w:before="80" w:after="0" w:line="240" w:lineRule="auto"/>
        <w:ind w:left="259" w:right="259"/>
        <w:shd w:fill="F4F6F9"/>
      </w:pPr>
      <w:r>
        <w:rPr>
          <w:rFonts w:ascii="Menlo" w:hAnsi="Menlo" w:eastAsia="Menlo"/>
          <w:sz w:val="20"/>
        </w:rPr>
        <w:t>用户浏览器</w:t>
      </w:r>
    </w:p>
    <w:p>
      <w:pPr>
        <w:spacing w:before="0" w:after="0" w:line="240" w:lineRule="auto"/>
        <w:ind w:left="259" w:right="259"/>
        <w:shd w:fill="F4F6F9"/>
      </w:pPr>
      <w:r>
        <w:rPr>
          <w:rFonts w:ascii="Menlo" w:hAnsi="Menlo" w:eastAsia="Menlo"/>
          <w:sz w:val="20"/>
        </w:rPr>
        <w:t xml:space="preserve">    -&gt; Vue 3 + Vite + ECharts</w:t>
      </w:r>
    </w:p>
    <w:p>
      <w:pPr>
        <w:spacing w:before="0" w:after="0" w:line="240" w:lineRule="auto"/>
        <w:ind w:left="259" w:right="259"/>
        <w:shd w:fill="F4F6F9"/>
      </w:pPr>
      <w:r>
        <w:rPr>
          <w:rFonts w:ascii="Menlo" w:hAnsi="Menlo" w:eastAsia="Menlo"/>
          <w:sz w:val="20"/>
        </w:rPr>
        <w:t xml:space="preserve">    -&gt; FastAPI API / 鉴权 / 业务编排</w:t>
      </w:r>
    </w:p>
    <w:p>
      <w:pPr>
        <w:spacing w:before="0" w:after="0" w:line="240" w:lineRule="auto"/>
        <w:ind w:left="259" w:right="259"/>
        <w:shd w:fill="F4F6F9"/>
      </w:pPr>
      <w:r>
        <w:rPr>
          <w:rFonts w:ascii="Menlo" w:hAnsi="Menlo" w:eastAsia="Menlo"/>
          <w:sz w:val="20"/>
        </w:rPr>
        <w:t xml:space="preserve">    -&gt; SQLAlchemy + SQLite</w:t>
      </w:r>
    </w:p>
    <w:p>
      <w:pPr>
        <w:spacing w:before="0" w:after="0" w:line="240" w:lineRule="auto"/>
        <w:ind w:left="259" w:right="259"/>
        <w:shd w:fill="F4F6F9"/>
      </w:pPr>
      <w:r>
        <w:rPr>
          <w:rFonts w:ascii="Menlo" w:hAnsi="Menlo" w:eastAsia="Menlo"/>
          <w:sz w:val="20"/>
        </w:rPr>
        <w:t xml:space="preserve">    -&gt; Quant Engine 回测与指标计算</w:t>
      </w:r>
    </w:p>
    <w:p>
      <w:pPr>
        <w:spacing w:before="0" w:after="0" w:line="240" w:lineRule="auto"/>
        <w:ind w:left="259" w:right="259"/>
        <w:shd w:fill="F4F6F9"/>
      </w:pPr>
      <w:r>
        <w:rPr>
          <w:rFonts w:ascii="Menlo" w:hAnsi="Menlo" w:eastAsia="Menlo"/>
          <w:sz w:val="20"/>
        </w:rPr>
        <w:t xml:space="preserve">    -&gt; Binance REST 行情数据</w:t>
      </w:r>
    </w:p>
    <w:p>
      <w:pPr>
        <w:spacing w:before="0" w:after="80" w:line="240" w:lineRule="auto"/>
        <w:ind w:left="259" w:right="259"/>
        <w:shd w:fill="F4F6F9"/>
      </w:pPr>
      <w:r>
        <w:rPr>
          <w:rFonts w:ascii="Menlo" w:hAnsi="Menlo" w:eastAsia="Menlo"/>
          <w:sz w:val="20"/>
        </w:rPr>
        <w:t xml:space="preserve">    -&gt; Google Gemini / OpenAI / Local Engine</w:t>
      </w:r>
    </w:p>
    <w:p>
      <w:pPr>
        <w:widowControl/>
      </w:pPr>
      <w:r>
        <w:rPr>
          <w:rFonts w:ascii="PingFang SC" w:hAnsi="PingFang SC" w:eastAsia="PingFang SC"/>
          <w:sz w:val="22"/>
        </w:rPr>
        <w:t>前端负责登录、参数输入、任务状态和图表展示；后端负责权限、数据同步、任务编排、持久化和外部模型调用；量化引擎负责信号、撮合、费用、权益和指标计算。该分层避免将策略计算散落在页面或路由中。</w:t>
      </w:r>
    </w:p>
    <w:p>
      <w:pPr>
        <w:pStyle w:val="Heading1"/>
      </w:pPr>
      <w:r>
        <w:t>4. 核心模块实现</w:t>
      </w:r>
    </w:p>
    <w:p>
      <w:pPr>
        <w:pStyle w:val="Heading2"/>
      </w:pPr>
      <w:r>
        <w:t>4.1 用户认证与数据隔离</w:t>
      </w:r>
    </w:p>
    <w:p>
      <w:pPr>
        <w:widowControl/>
      </w:pPr>
      <w:r>
        <w:rPr>
          <w:rFonts w:ascii="PingFang SC" w:hAnsi="PingFang SC" w:eastAsia="PingFang SC"/>
          <w:sz w:val="22"/>
        </w:rPr>
        <w:t xml:space="preserve">系统使用 PBKDF2 保存密码摘要，通过 HMAC 签名访问令牌识别当前用户。策略、回测记录和 AI 分析记录都带有 </w:t>
      </w:r>
      <w:r>
        <w:rPr>
          <w:rFonts w:ascii="Menlo" w:hAnsi="Menlo" w:eastAsia="Menlo"/>
          <w:color w:val="1F4D78"/>
          <w:sz w:val="20"/>
        </w:rPr>
        <w:t>user_id</w:t>
      </w:r>
      <w:r>
        <w:rPr>
          <w:rFonts w:ascii="PingFang SC" w:hAnsi="PingFang SC" w:eastAsia="PingFang SC"/>
          <w:sz w:val="22"/>
        </w:rPr>
        <w:t>。未登录用户只能看到独立登录/注册页，演示启动默认关闭匿名开发回退。</w:t>
      </w:r>
    </w:p>
    <w:p>
      <w:pPr>
        <w:pStyle w:val="Heading2"/>
      </w:pPr>
      <w:r>
        <w:t>4.2 实时行情采集与质量观察</w:t>
      </w:r>
    </w:p>
    <w:p>
      <w:pPr>
        <w:widowControl/>
      </w:pPr>
      <w:r>
        <w:rPr>
          <w:rFonts w:ascii="PingFang SC" w:hAnsi="PingFang SC" w:eastAsia="PingFang SC"/>
          <w:sz w:val="22"/>
        </w:rPr>
        <w:t xml:space="preserve">后端通过 Binance REST K 线接口按标的和周期增量同步数据，并对 </w:t>
      </w:r>
      <w:r>
        <w:rPr>
          <w:rFonts w:ascii="Menlo" w:hAnsi="Menlo" w:eastAsia="Menlo"/>
          <w:color w:val="1F4D78"/>
          <w:sz w:val="20"/>
        </w:rPr>
        <w:t>(symbol, timeframe, open_time)</w:t>
      </w:r>
      <w:r>
        <w:rPr>
          <w:rFonts w:ascii="PingFang SC" w:hAnsi="PingFang SC" w:eastAsia="PingFang SC"/>
          <w:sz w:val="22"/>
        </w:rPr>
        <w:t xml:space="preserve"> 进行幂等写入。前端行情页每 10 秒刷新，可显示 K 线、成交量、MA7 和 MA25。</w:t>
      </w:r>
    </w:p>
    <w:p>
      <w:pPr>
        <w:widowControl/>
      </w:pPr>
      <w:r>
        <w:rPr>
          <w:rFonts w:ascii="PingFang SC" w:hAnsi="PingFang SC" w:eastAsia="PingFang SC"/>
          <w:sz w:val="22"/>
        </w:rPr>
        <w:t>行情接口还返回健康信息：</w:t>
      </w:r>
    </w:p>
    <w:p>
      <w:pPr>
        <w:pStyle w:val="ListBullet"/>
      </w:pPr>
      <w:r>
        <w:rPr>
          <w:rFonts w:ascii="Menlo" w:hAnsi="Menlo" w:eastAsia="Menlo"/>
          <w:color w:val="1F4D78"/>
          <w:sz w:val="20"/>
        </w:rPr>
        <w:t>fresh</w:t>
      </w:r>
      <w:r>
        <w:rPr>
          <w:rFonts w:ascii="PingFang SC" w:hAnsi="PingFang SC" w:eastAsia="PingFang SC"/>
          <w:sz w:val="22"/>
        </w:rPr>
        <w:t>：数据处于预期更新范围。</w:t>
      </w:r>
    </w:p>
    <w:p>
      <w:pPr>
        <w:pStyle w:val="ListBullet"/>
      </w:pPr>
      <w:r>
        <w:rPr>
          <w:rFonts w:ascii="Menlo" w:hAnsi="Menlo" w:eastAsia="Menlo"/>
          <w:color w:val="1F4D78"/>
          <w:sz w:val="20"/>
        </w:rPr>
        <w:t>watch</w:t>
      </w:r>
      <w:r>
        <w:rPr>
          <w:rFonts w:ascii="PingFang SC" w:hAnsi="PingFang SC" w:eastAsia="PingFang SC"/>
          <w:sz w:val="22"/>
        </w:rPr>
        <w:t>：数据有轻微延迟，需要观察。</w:t>
      </w:r>
    </w:p>
    <w:p>
      <w:pPr>
        <w:pStyle w:val="ListBullet"/>
      </w:pPr>
      <w:r>
        <w:rPr>
          <w:rFonts w:ascii="Menlo" w:hAnsi="Menlo" w:eastAsia="Menlo"/>
          <w:color w:val="1F4D78"/>
          <w:sz w:val="20"/>
        </w:rPr>
        <w:t>stale</w:t>
      </w:r>
      <w:r>
        <w:rPr>
          <w:rFonts w:ascii="PingFang SC" w:hAnsi="PingFang SC" w:eastAsia="PingFang SC"/>
          <w:sz w:val="22"/>
        </w:rPr>
        <w:t>：数据明显过期。</w:t>
      </w:r>
    </w:p>
    <w:p>
      <w:pPr>
        <w:pStyle w:val="ListBullet"/>
      </w:pPr>
      <w:r>
        <w:rPr>
          <w:rFonts w:ascii="Menlo" w:hAnsi="Menlo" w:eastAsia="Menlo"/>
          <w:color w:val="1F4D78"/>
          <w:sz w:val="20"/>
        </w:rPr>
        <w:t>empty</w:t>
      </w:r>
      <w:r>
        <w:rPr>
          <w:rFonts w:ascii="PingFang SC" w:hAnsi="PingFang SC" w:eastAsia="PingFang SC"/>
          <w:sz w:val="22"/>
        </w:rPr>
        <w:t>：没有可用数据。</w:t>
      </w:r>
    </w:p>
    <w:p>
      <w:pPr>
        <w:pStyle w:val="ListBullet"/>
      </w:pPr>
      <w:r>
        <w:rPr>
          <w:rFonts w:ascii="Menlo" w:hAnsi="Menlo" w:eastAsia="Menlo"/>
          <w:color w:val="1F4D78"/>
          <w:sz w:val="20"/>
        </w:rPr>
        <w:t>gap_count</w:t>
      </w:r>
      <w:r>
        <w:rPr>
          <w:rFonts w:ascii="PingFang SC" w:hAnsi="PingFang SC" w:eastAsia="PingFang SC"/>
          <w:sz w:val="22"/>
        </w:rPr>
        <w:t xml:space="preserve"> 与 </w:t>
      </w:r>
      <w:r>
        <w:rPr>
          <w:rFonts w:ascii="Menlo" w:hAnsi="Menlo" w:eastAsia="Menlo"/>
          <w:color w:val="1F4D78"/>
          <w:sz w:val="20"/>
        </w:rPr>
        <w:t>missing_count</w:t>
      </w:r>
      <w:r>
        <w:rPr>
          <w:rFonts w:ascii="PingFang SC" w:hAnsi="PingFang SC" w:eastAsia="PingFang SC"/>
          <w:sz w:val="22"/>
        </w:rPr>
        <w:t>：用于识别时间序列断档。</w:t>
      </w:r>
    </w:p>
    <w:p>
      <w:pPr>
        <w:widowControl/>
      </w:pPr>
      <w:r>
        <w:rPr>
          <w:rFonts w:ascii="PingFang SC" w:hAnsi="PingFang SC" w:eastAsia="PingFang SC"/>
          <w:sz w:val="22"/>
        </w:rPr>
        <w:t>回测服务优先使用数据库中的近期行情；若请求区间覆盖不足，则回退到版本库中的 CSV 样例。这一设计兼顾实时演示和离线可复现性。</w:t>
      </w:r>
    </w:p>
    <w:p>
      <w:pPr>
        <w:pStyle w:val="Heading2"/>
      </w:pPr>
      <w:r>
        <w:t>4.3 量化回测引擎</w:t>
      </w:r>
    </w:p>
    <w:p>
      <w:pPr>
        <w:widowControl/>
      </w:pPr>
      <w:r>
        <w:rPr>
          <w:rFonts w:ascii="PingFang SC" w:hAnsi="PingFang SC" w:eastAsia="PingFang SC"/>
          <w:sz w:val="22"/>
        </w:rPr>
        <w:t>回测引擎按 K 线顺序推进，策略在当前完整 K 线结束后产生信号，订单最早在下一根 K 线执行，从而避免同 K 线前视偏差。Broker 统一管理现金、持仓、手续费、交易记录和权益曲线。</w:t>
      </w:r>
    </w:p>
    <w:p>
      <w:pPr>
        <w:widowControl/>
      </w:pPr>
      <w:r>
        <w:rPr>
          <w:rFonts w:ascii="PingFang SC" w:hAnsi="PingFang SC" w:eastAsia="PingFang SC"/>
          <w:sz w:val="22"/>
        </w:rPr>
        <w:t>当前内置策略包括：</w:t>
      </w:r>
    </w:p>
    <w:p>
      <w:pPr>
        <w:pStyle w:val="ListBullet"/>
      </w:pPr>
      <w:r>
        <w:rPr>
          <w:rFonts w:ascii="PingFang SC" w:hAnsi="PingFang SC" w:eastAsia="PingFang SC"/>
          <w:sz w:val="22"/>
        </w:rPr>
        <w:t>均线交叉策略：短周期均线上穿长周期均线买入，下穿卖出。</w:t>
      </w:r>
    </w:p>
    <w:p>
      <w:pPr>
        <w:pStyle w:val="ListBullet"/>
      </w:pPr>
      <w:r>
        <w:rPr>
          <w:rFonts w:ascii="PingFang SC" w:hAnsi="PingFang SC" w:eastAsia="PingFang SC"/>
          <w:sz w:val="22"/>
        </w:rPr>
        <w:t>RSI 反转策略：根据超买、超卖阈值生成交易信号。</w:t>
      </w:r>
    </w:p>
    <w:p>
      <w:pPr>
        <w:widowControl/>
      </w:pPr>
      <w:r>
        <w:rPr>
          <w:rFonts w:ascii="PingFang SC" w:hAnsi="PingFang SC" w:eastAsia="PingFang SC"/>
          <w:sz w:val="22"/>
        </w:rPr>
        <w:t>性能指标包括总收益率、年化收益率、最大回撤、夏普比率、胜率、交易次数和最终权益。不同周期使用对应年化系数，避免将小时级收益按日线错误年化。</w:t>
      </w:r>
    </w:p>
    <w:p>
      <w:pPr>
        <w:pStyle w:val="Heading2"/>
      </w:pPr>
      <w:r>
        <w:t>4.4 异步回测任务</w:t>
      </w:r>
    </w:p>
    <w:p>
      <w:pPr>
        <w:widowControl/>
      </w:pPr>
      <w:r>
        <w:rPr>
          <w:rFonts w:ascii="PingFang SC" w:hAnsi="PingFang SC" w:eastAsia="PingFang SC"/>
          <w:sz w:val="22"/>
        </w:rPr>
        <w:t xml:space="preserve">前端提交回测后，后端创建 </w:t>
      </w:r>
      <w:r>
        <w:rPr>
          <w:rFonts w:ascii="Menlo" w:hAnsi="Menlo" w:eastAsia="Menlo"/>
          <w:color w:val="1F4D78"/>
          <w:sz w:val="20"/>
        </w:rPr>
        <w:t>queued</w:t>
      </w:r>
      <w:r>
        <w:rPr>
          <w:rFonts w:ascii="PingFang SC" w:hAnsi="PingFang SC" w:eastAsia="PingFang SC"/>
          <w:sz w:val="22"/>
        </w:rPr>
        <w:t xml:space="preserve"> 状态任务，并由进程内线程池执行。任务状态包括 </w:t>
      </w:r>
      <w:r>
        <w:rPr>
          <w:rFonts w:ascii="Menlo" w:hAnsi="Menlo" w:eastAsia="Menlo"/>
          <w:color w:val="1F4D78"/>
          <w:sz w:val="20"/>
        </w:rPr>
        <w:t>queued</w:t>
      </w:r>
      <w:r>
        <w:rPr>
          <w:rFonts w:ascii="PingFang SC" w:hAnsi="PingFang SC" w:eastAsia="PingFang SC"/>
          <w:sz w:val="22"/>
        </w:rPr>
        <w:t>、</w:t>
      </w:r>
      <w:r>
        <w:rPr>
          <w:rFonts w:ascii="Menlo" w:hAnsi="Menlo" w:eastAsia="Menlo"/>
          <w:color w:val="1F4D78"/>
          <w:sz w:val="20"/>
        </w:rPr>
        <w:t>running</w:t>
      </w:r>
      <w:r>
        <w:rPr>
          <w:rFonts w:ascii="PingFang SC" w:hAnsi="PingFang SC" w:eastAsia="PingFang SC"/>
          <w:sz w:val="22"/>
        </w:rPr>
        <w:t>、</w:t>
      </w:r>
      <w:r>
        <w:rPr>
          <w:rFonts w:ascii="Menlo" w:hAnsi="Menlo" w:eastAsia="Menlo"/>
          <w:color w:val="1F4D78"/>
          <w:sz w:val="20"/>
        </w:rPr>
        <w:t>succeeded</w:t>
      </w:r>
      <w:r>
        <w:rPr>
          <w:rFonts w:ascii="PingFang SC" w:hAnsi="PingFang SC" w:eastAsia="PingFang SC"/>
          <w:sz w:val="22"/>
        </w:rPr>
        <w:t>、</w:t>
      </w:r>
      <w:r>
        <w:rPr>
          <w:rFonts w:ascii="Menlo" w:hAnsi="Menlo" w:eastAsia="Menlo"/>
          <w:color w:val="1F4D78"/>
          <w:sz w:val="20"/>
        </w:rPr>
        <w:t>failed</w:t>
      </w:r>
      <w:r>
        <w:rPr>
          <w:rFonts w:ascii="PingFang SC" w:hAnsi="PingFang SC" w:eastAsia="PingFang SC"/>
          <w:sz w:val="22"/>
        </w:rPr>
        <w:t xml:space="preserve"> 和 </w:t>
      </w:r>
      <w:r>
        <w:rPr>
          <w:rFonts w:ascii="Menlo" w:hAnsi="Menlo" w:eastAsia="Menlo"/>
          <w:color w:val="1F4D78"/>
          <w:sz w:val="20"/>
        </w:rPr>
        <w:t>cancelled</w:t>
      </w:r>
      <w:r>
        <w:rPr>
          <w:rFonts w:ascii="PingFang SC" w:hAnsi="PingFang SC" w:eastAsia="PingFang SC"/>
          <w:sz w:val="22"/>
        </w:rPr>
        <w:t>。任务中心支持轮询、取消、失败重试和打开成功结果。</w:t>
      </w:r>
    </w:p>
    <w:p>
      <w:pPr>
        <w:widowControl/>
      </w:pPr>
      <w:r>
        <w:rPr>
          <w:rFonts w:ascii="PingFang SC" w:hAnsi="PingFang SC" w:eastAsia="PingFang SC"/>
          <w:sz w:val="22"/>
        </w:rPr>
        <w:t>该实现适合课程演示和单实例部署。生产环境应进一步替换为独立消息队列、Worker 和心跳恢复机制。</w:t>
      </w:r>
    </w:p>
    <w:p>
      <w:pPr>
        <w:pStyle w:val="Heading2"/>
      </w:pPr>
      <w:r>
        <w:t>4.5 AI 智能推荐分析</w:t>
      </w:r>
    </w:p>
    <w:p>
      <w:pPr>
        <w:widowControl/>
      </w:pPr>
      <w:r>
        <w:rPr>
          <w:rFonts w:ascii="PingFang SC" w:hAnsi="PingFang SC" w:eastAsia="PingFang SC"/>
          <w:sz w:val="22"/>
        </w:rPr>
        <w:t>AI 模块是本项目的主要创新点。系统不是向大模型发送笼统问题，而是组织以下结构化上下文：策略名称、标的、周期、回测区间、初始资金、策略参数、收益率、最大回撤、夏普比率、胜率和交易次数。</w:t>
      </w:r>
    </w:p>
    <w:p>
      <w:pPr>
        <w:widowControl/>
      </w:pPr>
      <w:r>
        <w:rPr>
          <w:rFonts w:ascii="PingFang SC" w:hAnsi="PingFang SC" w:eastAsia="PingFang SC"/>
          <w:sz w:val="22"/>
        </w:rPr>
        <w:t>模型返回统一 JSON 结构：</w:t>
      </w:r>
    </w:p>
    <w:p>
      <w:pPr>
        <w:pStyle w:val="ListBullet"/>
      </w:pPr>
      <w:r>
        <w:rPr>
          <w:rFonts w:ascii="PingFang SC" w:hAnsi="PingFang SC" w:eastAsia="PingFang SC"/>
          <w:sz w:val="22"/>
        </w:rPr>
        <w:t>总结、风险等级和策略类型。</w:t>
      </w:r>
    </w:p>
    <w:p>
      <w:pPr>
        <w:pStyle w:val="ListBullet"/>
      </w:pPr>
      <w:r>
        <w:rPr>
          <w:rFonts w:ascii="PingFang SC" w:hAnsi="PingFang SC" w:eastAsia="PingFang SC"/>
          <w:sz w:val="22"/>
        </w:rPr>
        <w:t>推荐评分与置信度。</w:t>
      </w:r>
    </w:p>
    <w:p>
      <w:pPr>
        <w:pStyle w:val="ListBullet"/>
      </w:pPr>
      <w:r>
        <w:rPr>
          <w:rFonts w:ascii="PingFang SC" w:hAnsi="PingFang SC" w:eastAsia="PingFang SC"/>
          <w:sz w:val="22"/>
        </w:rPr>
        <w:t>优势、警告和行动建议。</w:t>
      </w:r>
    </w:p>
    <w:p>
      <w:pPr>
        <w:pStyle w:val="ListBullet"/>
      </w:pPr>
      <w:r>
        <w:rPr>
          <w:rFonts w:ascii="PingFang SC" w:hAnsi="PingFang SC" w:eastAsia="PingFang SC"/>
          <w:sz w:val="22"/>
        </w:rPr>
        <w:t>适配场景与不建议场景。</w:t>
      </w:r>
    </w:p>
    <w:p>
      <w:pPr>
        <w:pStyle w:val="ListBullet"/>
      </w:pPr>
      <w:r>
        <w:rPr>
          <w:rFonts w:ascii="PingFang SC" w:hAnsi="PingFang SC" w:eastAsia="PingFang SC"/>
          <w:sz w:val="22"/>
        </w:rPr>
        <w:t>下一步执行计划和建议参数。</w:t>
      </w:r>
    </w:p>
    <w:p>
      <w:pPr>
        <w:widowControl/>
      </w:pPr>
      <w:r>
        <w:rPr>
          <w:rFonts w:ascii="PingFang SC" w:hAnsi="PingFang SC" w:eastAsia="PingFang SC"/>
          <w:sz w:val="22"/>
        </w:rPr>
        <w:t xml:space="preserve">默认 provider 为 Google Gemini，真实调用模型为 </w:t>
      </w:r>
      <w:r>
        <w:rPr>
          <w:rFonts w:ascii="Menlo" w:hAnsi="Menlo" w:eastAsia="Menlo"/>
          <w:color w:val="1F4D78"/>
          <w:sz w:val="20"/>
        </w:rPr>
        <w:t>gemini-3.5-flash</w:t>
      </w:r>
      <w:r>
        <w:rPr>
          <w:rFonts w:ascii="PingFang SC" w:hAnsi="PingFang SC" w:eastAsia="PingFang SC"/>
          <w:sz w:val="22"/>
        </w:rPr>
        <w:t>。系统同时保留 OpenAI Responses API 和本地规则引擎。外部 API 失败时会明确显示失败原因并回退本地分析，不会将本地结果伪装成大模型输出。</w:t>
      </w:r>
    </w:p>
    <w:p>
      <w:r>
        <w:br w:type="page"/>
      </w:r>
    </w:p>
    <w:p>
      <w:pPr>
        <w:pStyle w:val="Heading1"/>
      </w:pPr>
      <w:r>
        <w:t>5. 实际运行案例</w:t>
      </w:r>
    </w:p>
    <w:p>
      <w:pPr>
        <w:widowControl/>
      </w:pPr>
      <w:r>
        <w:rPr>
          <w:rFonts w:ascii="PingFang SC" w:hAnsi="PingFang SC" w:eastAsia="PingFang SC"/>
          <w:sz w:val="22"/>
        </w:rPr>
        <w:t>2026 年 6 月 15 日对 BTCUSDT 日线均线交叉策略进行回测，区间为 2025-10-12 至 2026-06-15，初始资金为 10000。结果如下：</w:t>
      </w:r>
    </w:p>
    <w:tbl>
      <w:tblPr>
        <w:tblStyle w:val="TableGrid"/>
        <w:tblW w:type="dxa" w:w="9360"/>
        <w:jc w:val="left"/>
        <w:tblLayout w:type="fixed"/>
        <w:tblLook w:firstColumn="1" w:firstRow="1" w:lastColumn="0" w:lastRow="0" w:noHBand="0" w:noVBand="1" w:val="04A0"/>
        <w:tblInd w:type="dxa" w:w="120"/>
      </w:tblPr>
      <w:tblGrid>
        <w:gridCol w:w="6435"/>
        <w:gridCol w:w="2925"/>
      </w:tblGrid>
      <w:tr>
        <w:trPr>
          <w:tblHeader/>
        </w:trPr>
        <w:tc>
          <w:tcPr>
            <w:tcW w:type="dxa" w:w="6435"/>
            <w:shd w:fill="E8EEF5"/>
            <w:vAlign w:val="center"/>
            <w:tcMar>
              <w:top w:w="80" w:type="dxa"/>
              <w:bottom w:w="80" w:type="dxa"/>
              <w:start w:w="120" w:type="dxa"/>
              <w:end w:w="120" w:type="dxa"/>
            </w:tcMar>
          </w:tcPr>
          <w:p>
            <w:pPr>
              <w:spacing w:after="0"/>
              <w:jc w:val="center"/>
            </w:pPr>
            <w:r>
              <w:rPr>
                <w:rFonts w:ascii="PingFang SC" w:hAnsi="PingFang SC" w:eastAsia="PingFang SC"/>
                <w:b/>
                <w:color w:val="0B2545"/>
                <w:sz w:val="21"/>
              </w:rPr>
              <w:t>指标</w:t>
            </w:r>
          </w:p>
        </w:tc>
        <w:tc>
          <w:tcPr>
            <w:tcW w:type="dxa" w:w="2925"/>
            <w:shd w:fill="E8EEF5"/>
            <w:vAlign w:val="center"/>
            <w:tcMar>
              <w:top w:w="80" w:type="dxa"/>
              <w:bottom w:w="80" w:type="dxa"/>
              <w:start w:w="120" w:type="dxa"/>
              <w:end w:w="120" w:type="dxa"/>
            </w:tcMar>
          </w:tcPr>
          <w:p>
            <w:pPr>
              <w:spacing w:after="0"/>
              <w:jc w:val="center"/>
            </w:pPr>
            <w:r>
              <w:rPr>
                <w:rFonts w:ascii="PingFang SC" w:hAnsi="PingFang SC" w:eastAsia="PingFang SC"/>
                <w:b/>
                <w:color w:val="0B2545"/>
                <w:sz w:val="21"/>
              </w:rPr>
              <w:t>结果</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总收益率</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-7.15%</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最大回撤</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-16.75%</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夏普比率</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-0.399</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胜率</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25%</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交易次数</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8</w:t>
            </w:r>
          </w:p>
        </w:tc>
      </w:tr>
      <w:tr>
        <w:trPr/>
        <w:tc>
          <w:tcPr>
            <w:tcW w:type="dxa" w:w="6435"/>
            <w:vAlign w:val="center"/>
            <w:tcMar>
              <w:top w:w="80" w:type="dxa"/>
              <w:bottom w:w="80" w:type="dxa"/>
              <w:start w:w="120" w:type="dxa"/>
              <w:end w:w="120" w:type="dxa"/>
            </w:tcMar>
          </w:tcPr>
          <w:p>
            <w:pPr>
              <w:spacing w:after="0"/>
              <w:jc w:val="left"/>
            </w:pPr>
            <w:r>
              <w:rPr>
                <w:rFonts w:ascii="PingFang SC" w:hAnsi="PingFang SC" w:eastAsia="PingFang SC"/>
                <w:sz w:val="21"/>
              </w:rPr>
              <w:t>最终权益</w:t>
            </w:r>
          </w:p>
        </w:tc>
        <w:tc>
          <w:tcPr>
            <w:tcW w:type="dxa" w:w="2925"/>
            <w:vAlign w:val="center"/>
            <w:tcMar>
              <w:top w:w="80" w:type="dxa"/>
              <w:bottom w:w="80" w:type="dxa"/>
              <w:start w:w="120" w:type="dxa"/>
              <w:end w:w="120" w:type="dxa"/>
            </w:tcMar>
          </w:tcPr>
          <w:p>
            <w:pPr>
              <w:spacing w:after="0"/>
              <w:jc w:val="center"/>
            </w:pPr>
            <w:r>
              <w:rPr>
                <w:rFonts w:ascii="PingFang SC" w:hAnsi="PingFang SC" w:eastAsia="PingFang SC"/>
                <w:sz w:val="21"/>
              </w:rPr>
              <w:t>9285.45</w:t>
            </w:r>
          </w:p>
        </w:tc>
      </w:tr>
    </w:tbl>
    <w:p>
      <w:pPr>
        <w:spacing w:after="40"/>
      </w:pPr>
    </w:p>
    <w:p>
      <w:pPr>
        <w:widowControl/>
      </w:pPr>
      <w:r>
        <w:rPr>
          <w:rFonts w:ascii="PingFang SC" w:hAnsi="PingFang SC" w:eastAsia="PingFang SC"/>
          <w:sz w:val="22"/>
        </w:rPr>
        <w:t>Gemini 对该结果给出 35/100 的推荐评分和 85% 的置信度，识别出低胜率、负夏普和震荡行情假信号问题，并建议加入 ADX、ATR 或成交量过滤，增加止损机制，并对均线周期进行网格搜索。该案例说明 AI 模块并非只生成正面文案，而是能够根据负收益回测给出风险判断和可执行改进方向。</w:t>
      </w:r>
    </w:p>
    <w:p>
      <w:pPr>
        <w:pStyle w:val="Heading1"/>
      </w:pPr>
      <w:r>
        <w:t>6. 工程化设计</w:t>
      </w:r>
    </w:p>
    <w:p>
      <w:pPr>
        <w:pStyle w:val="Heading2"/>
      </w:pPr>
      <w:r>
        <w:t>6.1 配置与密钥管理</w:t>
      </w:r>
    </w:p>
    <w:p>
      <w:pPr>
        <w:widowControl/>
      </w:pPr>
      <w:r>
        <w:rPr>
          <w:rFonts w:ascii="PingFang SC" w:hAnsi="PingFang SC" w:eastAsia="PingFang SC"/>
          <w:sz w:val="22"/>
        </w:rPr>
        <w:t xml:space="preserve">数据库、CORS、认证、行情源和 AI provider 均通过环境变量配置。真实密钥放在被 Git 忽略的 </w:t>
      </w:r>
      <w:r>
        <w:rPr>
          <w:rFonts w:ascii="Menlo" w:hAnsi="Menlo" w:eastAsia="Menlo"/>
          <w:color w:val="1F4D78"/>
          <w:sz w:val="20"/>
        </w:rPr>
        <w:t>backend/.env.local</w:t>
      </w:r>
      <w:r>
        <w:rPr>
          <w:rFonts w:ascii="PingFang SC" w:hAnsi="PingFang SC" w:eastAsia="PingFang SC"/>
          <w:sz w:val="22"/>
        </w:rPr>
        <w:t xml:space="preserve">，仓库只提供 </w:t>
      </w:r>
      <w:r>
        <w:rPr>
          <w:rFonts w:ascii="Menlo" w:hAnsi="Menlo" w:eastAsia="Menlo"/>
          <w:color w:val="1F4D78"/>
          <w:sz w:val="20"/>
        </w:rPr>
        <w:t>.env.example</w:t>
      </w:r>
      <w:r>
        <w:rPr>
          <w:rFonts w:ascii="PingFang SC" w:hAnsi="PingFang SC" w:eastAsia="PingFang SC"/>
          <w:sz w:val="22"/>
        </w:rPr>
        <w:t>。</w:t>
      </w:r>
    </w:p>
    <w:p>
      <w:pPr>
        <w:pStyle w:val="Heading2"/>
      </w:pPr>
      <w:r>
        <w:t>6.2 数据库迁移</w:t>
      </w:r>
    </w:p>
    <w:p>
      <w:pPr>
        <w:widowControl/>
      </w:pPr>
      <w:r>
        <w:rPr>
          <w:rFonts w:ascii="PingFang SC" w:hAnsi="PingFang SC" w:eastAsia="PingFang SC"/>
          <w:sz w:val="22"/>
        </w:rPr>
        <w:t>项目使用 SQLAlchemy 建模，并通过 Alembic 维护正式 schema。开发环境为兼容旧 SQLite 数据库保留自动补列逻辑，生产环境应只使用迁移脚本。</w:t>
      </w:r>
    </w:p>
    <w:p>
      <w:pPr>
        <w:pStyle w:val="Heading2"/>
      </w:pPr>
      <w:r>
        <w:t>6.3 自动化测试</w:t>
      </w:r>
    </w:p>
    <w:p>
      <w:pPr>
        <w:widowControl/>
      </w:pPr>
      <w:r>
        <w:rPr>
          <w:rFonts w:ascii="PingFang SC" w:hAnsi="PingFang SC" w:eastAsia="PingFang SC"/>
          <w:sz w:val="22"/>
        </w:rPr>
        <w:t>当前 16 项后端测试覆盖：</w:t>
      </w:r>
    </w:p>
    <w:p>
      <w:pPr>
        <w:pStyle w:val="ListBullet"/>
      </w:pPr>
      <w:r>
        <w:rPr>
          <w:rFonts w:ascii="PingFang SC" w:hAnsi="PingFang SC" w:eastAsia="PingFang SC"/>
          <w:sz w:val="22"/>
        </w:rPr>
        <w:t>用户注册、登录、令牌解析和未授权访问。</w:t>
      </w:r>
    </w:p>
    <w:p>
      <w:pPr>
        <w:pStyle w:val="ListBullet"/>
      </w:pPr>
      <w:r>
        <w:rPr>
          <w:rFonts w:ascii="PingFang SC" w:hAnsi="PingFang SC" w:eastAsia="PingFang SC"/>
          <w:sz w:val="22"/>
        </w:rPr>
        <w:t>策略接口用户隔离。</w:t>
      </w:r>
    </w:p>
    <w:p>
      <w:pPr>
        <w:pStyle w:val="ListBullet"/>
      </w:pPr>
      <w:r>
        <w:rPr>
          <w:rFonts w:ascii="PingFang SC" w:hAnsi="PingFang SC" w:eastAsia="PingFang SC"/>
          <w:sz w:val="22"/>
        </w:rPr>
        <w:t>回测指标稳定性和空区间错误。</w:t>
      </w:r>
    </w:p>
    <w:p>
      <w:pPr>
        <w:pStyle w:val="ListBullet"/>
      </w:pPr>
      <w:r>
        <w:rPr>
          <w:rFonts w:ascii="PingFang SC" w:hAnsi="PingFang SC" w:eastAsia="PingFang SC"/>
          <w:sz w:val="22"/>
        </w:rPr>
        <w:t>回测记录持久化。</w:t>
      </w:r>
    </w:p>
    <w:p>
      <w:pPr>
        <w:pStyle w:val="ListBullet"/>
      </w:pPr>
      <w:r>
        <w:rPr>
          <w:rFonts w:ascii="PingFang SC" w:hAnsi="PingFang SC" w:eastAsia="PingFang SC"/>
          <w:sz w:val="22"/>
        </w:rPr>
        <w:t>异步任务执行、取消、重试和恢复。</w:t>
      </w:r>
    </w:p>
    <w:p>
      <w:pPr>
        <w:pStyle w:val="ListBullet"/>
      </w:pPr>
      <w:r>
        <w:rPr>
          <w:rFonts w:ascii="PingFang SC" w:hAnsi="PingFang SC" w:eastAsia="PingFang SC"/>
          <w:sz w:val="22"/>
        </w:rPr>
        <w:t>实时 K 线写入、排序、日期转换和断档检查。</w:t>
      </w:r>
    </w:p>
    <w:p>
      <w:pPr>
        <w:pStyle w:val="ListBullet"/>
      </w:pPr>
      <w:r>
        <w:rPr>
          <w:rFonts w:ascii="PingFang SC" w:hAnsi="PingFang SC" w:eastAsia="PingFang SC"/>
          <w:sz w:val="22"/>
        </w:rPr>
        <w:t>AI provider 模式切换、结果持久化和额度异常回退。</w:t>
      </w:r>
    </w:p>
    <w:p>
      <w:pPr>
        <w:widowControl/>
      </w:pPr>
      <w:r>
        <w:rPr>
          <w:rFonts w:ascii="PingFang SC" w:hAnsi="PingFang SC" w:eastAsia="PingFang SC"/>
          <w:sz w:val="22"/>
        </w:rPr>
        <w:t>前端通过 Vite 生产构建验证依赖和组件编译。</w:t>
      </w:r>
    </w:p>
    <w:p>
      <w:pPr>
        <w:pStyle w:val="Heading2"/>
      </w:pPr>
      <w:r>
        <w:t>6.4 演示运维</w:t>
      </w:r>
    </w:p>
    <w:p>
      <w:pPr>
        <w:widowControl/>
      </w:pPr>
      <w:r>
        <w:rPr>
          <w:rFonts w:ascii="PingFang SC" w:hAnsi="PingFang SC" w:eastAsia="PingFang SC"/>
          <w:sz w:val="22"/>
        </w:rPr>
        <w:t>项目提供以下脚本：</w:t>
      </w:r>
    </w:p>
    <w:p>
      <w:pPr>
        <w:pStyle w:val="ListBullet"/>
      </w:pPr>
      <w:r>
        <w:rPr>
          <w:rFonts w:ascii="Menlo" w:hAnsi="Menlo" w:eastAsia="Menlo"/>
          <w:color w:val="1F4D78"/>
          <w:sz w:val="20"/>
        </w:rPr>
        <w:t>scripts/demo.sh</w:t>
      </w:r>
      <w:r>
        <w:rPr>
          <w:rFonts w:ascii="PingFang SC" w:hAnsi="PingFang SC" w:eastAsia="PingFang SC"/>
          <w:sz w:val="22"/>
        </w:rPr>
        <w:t>：推荐的一键演示入口，固定启动 8000/5173。</w:t>
      </w:r>
    </w:p>
    <w:p>
      <w:pPr>
        <w:pStyle w:val="ListBullet"/>
      </w:pPr>
      <w:r>
        <w:rPr>
          <w:rFonts w:ascii="Menlo" w:hAnsi="Menlo" w:eastAsia="Menlo"/>
          <w:color w:val="1F4D78"/>
          <w:sz w:val="20"/>
        </w:rPr>
        <w:t>scripts/check_demo.sh</w:t>
      </w:r>
      <w:r>
        <w:rPr>
          <w:rFonts w:ascii="PingFang SC" w:hAnsi="PingFang SC" w:eastAsia="PingFang SC"/>
          <w:sz w:val="22"/>
        </w:rPr>
        <w:t>：检查服务、数据库、K 线和 Gemini 配置。</w:t>
      </w:r>
    </w:p>
    <w:p>
      <w:pPr>
        <w:pStyle w:val="ListBullet"/>
      </w:pPr>
      <w:r>
        <w:rPr>
          <w:rFonts w:ascii="Menlo" w:hAnsi="Menlo" w:eastAsia="Menlo"/>
          <w:color w:val="1F4D78"/>
          <w:sz w:val="20"/>
        </w:rPr>
        <w:t>scripts/start_demo.sh</w:t>
      </w:r>
      <w:r>
        <w:rPr>
          <w:rFonts w:ascii="PingFang SC" w:hAnsi="PingFang SC" w:eastAsia="PingFang SC"/>
          <w:sz w:val="22"/>
        </w:rPr>
        <w:t xml:space="preserve"> / </w:t>
      </w:r>
      <w:r>
        <w:rPr>
          <w:rFonts w:ascii="Menlo" w:hAnsi="Menlo" w:eastAsia="Menlo"/>
          <w:color w:val="1F4D78"/>
          <w:sz w:val="20"/>
        </w:rPr>
        <w:t>stop_demo.sh</w:t>
      </w:r>
      <w:r>
        <w:rPr>
          <w:rFonts w:ascii="PingFang SC" w:hAnsi="PingFang SC" w:eastAsia="PingFang SC"/>
          <w:sz w:val="22"/>
        </w:rPr>
        <w:t>：后台启动与停止。</w:t>
      </w:r>
    </w:p>
    <w:p>
      <w:r>
        <w:br w:type="page"/>
      </w:r>
    </w:p>
    <w:p>
      <w:pPr>
        <w:pStyle w:val="Heading1"/>
      </w:pPr>
      <w:r>
        <w:t>7. 项目特点与创新</w:t>
      </w:r>
    </w:p>
    <w:p>
      <w:pPr>
        <w:pStyle w:val="ListNumber"/>
      </w:pPr>
      <w:r>
        <w:rPr>
          <w:rFonts w:ascii="PingFang SC" w:hAnsi="PingFang SC" w:eastAsia="PingFang SC"/>
          <w:b/>
          <w:sz w:val="22"/>
        </w:rPr>
        <w:t>形成完整数据闭环。</w:t>
      </w:r>
      <w:r>
        <w:rPr>
          <w:rFonts w:ascii="PingFang SC" w:hAnsi="PingFang SC" w:eastAsia="PingFang SC"/>
          <w:sz w:val="22"/>
        </w:rPr>
        <w:t xml:space="preserve"> 实时行情不是临时展示，而是经过持久化和质量检查后参与回测。</w:t>
      </w:r>
    </w:p>
    <w:p>
      <w:pPr>
        <w:pStyle w:val="ListNumber"/>
      </w:pPr>
      <w:r>
        <w:rPr>
          <w:rFonts w:ascii="PingFang SC" w:hAnsi="PingFang SC" w:eastAsia="PingFang SC"/>
          <w:b/>
          <w:sz w:val="22"/>
        </w:rPr>
        <w:t>AI 与量化指标结合。</w:t>
      </w:r>
      <w:r>
        <w:rPr>
          <w:rFonts w:ascii="PingFang SC" w:hAnsi="PingFang SC" w:eastAsia="PingFang SC"/>
          <w:sz w:val="22"/>
        </w:rPr>
        <w:t xml:space="preserve"> 大模型输入来自结构化回测结果，输出遵循固定 contract 并保存历史。</w:t>
      </w:r>
    </w:p>
    <w:p>
      <w:pPr>
        <w:pStyle w:val="ListNumber"/>
      </w:pPr>
      <w:r>
        <w:rPr>
          <w:rFonts w:ascii="PingFang SC" w:hAnsi="PingFang SC" w:eastAsia="PingFang SC"/>
          <w:b/>
          <w:sz w:val="22"/>
        </w:rPr>
        <w:t>provider 可切换且可追溯。</w:t>
      </w:r>
      <w:r>
        <w:rPr>
          <w:rFonts w:ascii="PingFang SC" w:hAnsi="PingFang SC" w:eastAsia="PingFang SC"/>
          <w:sz w:val="22"/>
        </w:rPr>
        <w:t xml:space="preserve"> 页面明确展示 Gemini、OpenAI 或本地引擎，不混淆来源。</w:t>
      </w:r>
    </w:p>
    <w:p>
      <w:pPr>
        <w:pStyle w:val="ListNumber"/>
      </w:pPr>
      <w:r>
        <w:rPr>
          <w:rFonts w:ascii="PingFang SC" w:hAnsi="PingFang SC" w:eastAsia="PingFang SC"/>
          <w:b/>
          <w:sz w:val="22"/>
        </w:rPr>
        <w:t>负面结果同样可解释。</w:t>
      </w:r>
      <w:r>
        <w:rPr>
          <w:rFonts w:ascii="PingFang SC" w:hAnsi="PingFang SC" w:eastAsia="PingFang SC"/>
          <w:sz w:val="22"/>
        </w:rPr>
        <w:t xml:space="preserve"> 系统不追求展示虚假高收益，而是强调风险识别和参数迭代。</w:t>
      </w:r>
    </w:p>
    <w:p>
      <w:pPr>
        <w:pStyle w:val="ListNumber"/>
      </w:pPr>
      <w:r>
        <w:rPr>
          <w:rFonts w:ascii="PingFang SC" w:hAnsi="PingFang SC" w:eastAsia="PingFang SC"/>
          <w:b/>
          <w:sz w:val="22"/>
        </w:rPr>
        <w:t>课程项目具备工程化基础。</w:t>
      </w:r>
      <w:r>
        <w:rPr>
          <w:rFonts w:ascii="PingFang SC" w:hAnsi="PingFang SC" w:eastAsia="PingFang SC"/>
          <w:sz w:val="22"/>
        </w:rPr>
        <w:t xml:space="preserve"> 包含认证、迁移、异步任务、测试、配置和演示脚本。</w:t>
      </w:r>
    </w:p>
    <w:p>
      <w:pPr>
        <w:pStyle w:val="Heading1"/>
      </w:pPr>
      <w:r>
        <w:t>8. 局限性与后续工作</w:t>
      </w:r>
    </w:p>
    <w:p>
      <w:pPr>
        <w:pStyle w:val="ListBullet"/>
      </w:pPr>
      <w:r>
        <w:rPr>
          <w:rFonts w:ascii="PingFang SC" w:hAnsi="PingFang SC" w:eastAsia="PingFang SC"/>
          <w:sz w:val="22"/>
        </w:rPr>
        <w:t>自定义 Python 策略仍运行在 API 进程内，需要子进程沙箱、超时和资源限制。</w:t>
      </w:r>
    </w:p>
    <w:p>
      <w:pPr>
        <w:pStyle w:val="ListBullet"/>
      </w:pPr>
      <w:r>
        <w:rPr>
          <w:rFonts w:ascii="PingFang SC" w:hAnsi="PingFang SC" w:eastAsia="PingFang SC"/>
          <w:sz w:val="22"/>
        </w:rPr>
        <w:t>异步任务使用进程内线程池，需要独立队列和 Worker 才适合多实例部署。</w:t>
      </w:r>
    </w:p>
    <w:p>
      <w:pPr>
        <w:pStyle w:val="ListBullet"/>
      </w:pPr>
      <w:r>
        <w:rPr>
          <w:rFonts w:ascii="PingFang SC" w:hAnsi="PingFang SC" w:eastAsia="PingFang SC"/>
          <w:sz w:val="22"/>
        </w:rPr>
        <w:t>行情定时同步目前由浏览器触发，后续应迁移到服务端调度器。</w:t>
      </w:r>
    </w:p>
    <w:p>
      <w:pPr>
        <w:pStyle w:val="ListBullet"/>
      </w:pPr>
      <w:r>
        <w:rPr>
          <w:rFonts w:ascii="PingFang SC" w:hAnsi="PingFang SC" w:eastAsia="PingFang SC"/>
          <w:sz w:val="22"/>
        </w:rPr>
        <w:t>策略建议尚未自动进行样本外候选回测和参数排名。</w:t>
      </w:r>
    </w:p>
    <w:p>
      <w:pPr>
        <w:pStyle w:val="ListBullet"/>
      </w:pPr>
      <w:r>
        <w:rPr>
          <w:rFonts w:ascii="PingFang SC" w:hAnsi="PingFang SC" w:eastAsia="PingFang SC"/>
          <w:sz w:val="22"/>
        </w:rPr>
        <w:t>当前只支持虚拟货币现货只做多，不包含杠杆、做空、资金费率和实盘下单。</w:t>
      </w:r>
    </w:p>
    <w:p>
      <w:pPr>
        <w:pStyle w:val="ListBullet"/>
      </w:pPr>
      <w:r>
        <w:rPr>
          <w:rFonts w:ascii="PingFang SC" w:hAnsi="PingFang SC" w:eastAsia="PingFang SC"/>
          <w:sz w:val="22"/>
        </w:rPr>
        <w:t>生产环境还需 HTTPS、标准 JWT/OAuth、结构化日志、请求 ID、CI 和端到端测试。</w:t>
      </w:r>
    </w:p>
    <w:p>
      <w:pPr>
        <w:pStyle w:val="Heading1"/>
      </w:pPr>
      <w:r>
        <w:t>9. 总结</w:t>
      </w:r>
    </w:p>
    <w:p>
      <w:pPr>
        <w:widowControl/>
      </w:pPr>
      <w:r>
        <w:rPr>
          <w:rFonts w:ascii="PingFang SC" w:hAnsi="PingFang SC" w:eastAsia="PingFang SC"/>
          <w:sz w:val="22"/>
        </w:rPr>
        <w:t>本项目完成了从实时行情获取、数据存储、策略回测、风险指标到大语言模型分析的完整研究流程，并通过用户隔离、异步任务、数据库迁移、自动化测试和一键演示脚本提升了可维护性与可展示性。项目当前已经满足课程结项演示的核心要求，同时明确区分课程演示能力与生产级交易系统要求，为后续扩展策略沙箱、纸面交易和独立任务服务保留了清晰路径。</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PingFang SC" w:hAnsi="PingFang SC" w:eastAsia="PingFang SC"/>
        <w:color w:val="5A626C"/>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PingFang SC" w:hAnsi="PingFang SC" w:eastAsia="PingFang SC"/>
        <w:b/>
        <w:color w:val="5A626C"/>
        <w:sz w:val="18"/>
      </w:rPr>
      <w:t>Quant Platform | 课程项目报告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320" w:lineRule="auto"/>
      <w:jc w:val="both"/>
    </w:pPr>
    <w:rPr>
      <w:rFonts w:ascii="PingFang SC" w:hAnsi="PingFang SC" w:eastAsia="PingFang S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PingFang SC" w:hAnsi="PingFang SC" w:eastAsia="PingFang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PingFang SC" w:hAnsi="PingFang SC" w:eastAsia="PingFang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PingFang SC" w:hAnsi="PingFang SC" w:eastAsia="PingFang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90" w:lineRule="auto"/>
      <w:ind w:left="540" w:hanging="279"/>
      <w:contextualSpacing/>
    </w:pPr>
    <w:rPr>
      <w:rFonts w:ascii="PingFang SC" w:hAnsi="PingFang SC" w:eastAsia="PingFang SC"/>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90" w:lineRule="auto"/>
      <w:ind w:left="540" w:hanging="279"/>
      <w:contextualSpacing/>
    </w:pPr>
    <w:rPr>
      <w:rFonts w:ascii="PingFang SC" w:hAnsi="PingFang SC" w:eastAsia="PingFang SC"/>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基于实时行情与大语言模型的量化回测平台设计与实现</dc:title>
  <dc:subject>Quant Platform 课程项目报告</dc:subject>
  <dc:creator>Quant Platform Project Team</dc:creator>
  <cp:keywords>量化回测, 实时行情, Gemini, FastAPI, Vue 3</cp:keywords>
  <dc:description>generated by python-docx</dc:description>
  <cp:lastModifiedBy/>
  <cp:revision>1</cp:revision>
  <dcterms:created xsi:type="dcterms:W3CDTF">2013-12-23T23:15:00Z</dcterms:created>
  <dcterms:modified xsi:type="dcterms:W3CDTF">2013-12-23T23:15:00Z</dcterms:modified>
  <cp:category/>
</cp:coreProperties>
</file>