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RoamReady — UX Mockups</w:t>
      </w:r>
    </w:p>
    <w:p>
      <w:pPr>
        <w:spacing w:after="40"/>
      </w:pPr>
      <w:r>
        <w:rPr>
          <w:color w:val="c8841e"/>
          <w:sz w:val="26"/>
          <w:szCs w:val="26"/>
        </w:rPr>
        <w:t xml:space="preserve">Locked design targets — companion to the written hand-off</w:t>
      </w:r>
    </w:p>
    <w:p>
      <w:pPr>
        <w:spacing w:after="200"/>
      </w:pPr>
      <w:r>
        <w:rPr>
          <w:i/>
          <w:iCs/>
          <w:color w:val="5F5E5A"/>
        </w:rPr>
        <w:t xml:space="preserve">Prepared by Cindy (UX) · May 20, 2026</w:t>
      </w:r>
    </w:p>
    <w:p>
      <w:pPr>
        <w:spacing w:after="120"/>
      </w:pPr>
      <w:r>
        <w:rPr>
          <w:color w:val="5F5E5A"/>
          <w:sz w:val="20"/>
          <w:szCs w:val="20"/>
        </w:rPr>
        <w:t xml:space="preserve">One mockup per page. Each caption points to the matching section of the written hand-off doc (RoamReady_HandOff_Profile_Rig_Style_Memberships) so the spec and the visual target can be read side by side. Images are re-renders of the in-session mockups; small styling differences from the chat preview are cosmetic. Icons render as emoji where the icon font was unavailable offline.</w:t>
      </w:r>
    </w:p>
    <w:p>
      <w:r>
        <w:rPr>
          <w:color w:val="5F5E5A"/>
          <w:sz w:val="20"/>
          <w:szCs w:val="20"/>
        </w:rPr>
        <w:t xml:space="preserve">Six locked screens follow.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1. Trip setup — “Are you bringing the F-150?”</w:t>
      </w:r>
    </w:p>
    <w:p>
      <w:pPr>
        <w:pBdr>
          <w:bottom w:val="single" w:color="C8841E" w:sz="4" w:space="2"/>
        </w:pBdr>
        <w:spacing w:after="160"/>
      </w:pPr>
      <w:r>
        <w:rPr>
          <w:i/>
          <w:iCs/>
          <w:color w:val="c8841e"/>
          <w:sz w:val="20"/>
          <w:szCs w:val="20"/>
        </w:rPr>
        <w:t xml:space="preserve">Hand-off section 3 — Trip setup: “bringing this vehicle?”</w:t>
      </w:r>
    </w:p>
    <w:p>
      <w:pPr>
        <w:spacing w:after="160"/>
        <w:jc w:val="center"/>
      </w:pPr>
      <w:r>
        <w:drawing>
          <wp:inline distT="0" distB="0" distL="0" distR="0">
            <wp:extent cx="5715000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  <w:sz w:val="20"/>
          <w:szCs w:val="20"/>
        </w:rPr>
        <w:t xml:space="preserve">Notes:  </w:t>
      </w:r>
      <w:r>
        <w:rPr>
          <w:sz w:val="20"/>
          <w:szCs w:val="20"/>
        </w:rPr>
        <w:t xml:space="preserve">Appears only for a toad (optional). The rig shows as “Included” and is never a question; a required tow vehicle would also show as “Included.” The bottom link adds an ad-hoc, non-saved vehicle.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2. Rig profile — motorhome with toad</w:t>
      </w:r>
    </w:p>
    <w:p>
      <w:pPr>
        <w:pBdr>
          <w:bottom w:val="single" w:color="C8841E" w:sz="4" w:space="2"/>
        </w:pBdr>
        <w:spacing w:after="160"/>
      </w:pPr>
      <w:r>
        <w:rPr>
          <w:i/>
          <w:iCs/>
          <w:color w:val="c8841e"/>
          <w:sz w:val="20"/>
          <w:szCs w:val="20"/>
        </w:rPr>
        <w:t xml:space="preserve">Hand-off section 2 — Rig / Vehicle: second-vehicle section</w:t>
      </w:r>
    </w:p>
    <w:p>
      <w:pPr>
        <w:spacing w:after="160"/>
        <w:jc w:val="center"/>
      </w:pPr>
      <w:r>
        <w:drawing>
          <wp:inline distT="0" distB="0" distL="0" distR="0">
            <wp:extent cx="5715000" cy="5105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  <w:sz w:val="20"/>
          <w:szCs w:val="20"/>
        </w:rPr>
        <w:t xml:space="preserve">Notes:  </w:t>
      </w:r>
      <w:r>
        <w:rPr>
          <w:sz w:val="20"/>
          <w:szCs w:val="20"/>
        </w:rPr>
        <w:t xml:space="preserve">Two stacked cards. Toad variant: car icon, blue combined-length strip used for tunnel/pass/ferry restrictions only (a toad is unhooked at camp, so it does not affect site fit).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3. Rig profile — fifth wheel with tow vehicle</w:t>
      </w:r>
    </w:p>
    <w:p>
      <w:pPr>
        <w:pBdr>
          <w:bottom w:val="single" w:color="C8841E" w:sz="4" w:space="2"/>
        </w:pBdr>
        <w:spacing w:after="160"/>
      </w:pPr>
      <w:r>
        <w:rPr>
          <w:i/>
          <w:iCs/>
          <w:color w:val="c8841e"/>
          <w:sz w:val="20"/>
          <w:szCs w:val="20"/>
        </w:rPr>
        <w:t xml:space="preserve">Hand-off section 2 — Rig / Vehicle: second-vehicle section</w:t>
      </w:r>
    </w:p>
    <w:p>
      <w:pPr>
        <w:spacing w:after="160"/>
        <w:jc w:val="center"/>
      </w:pPr>
      <w:r>
        <w:drawing>
          <wp:inline distT="0" distB="0" distL="0" distR="0">
            <wp:extent cx="5715000" cy="460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  <w:sz w:val="20"/>
          <w:szCs w:val="20"/>
        </w:rPr>
        <w:t xml:space="preserve">Notes:  </w:t>
      </w:r>
      <w:r>
        <w:rPr>
          <w:sz w:val="20"/>
          <w:szCs w:val="20"/>
        </w:rPr>
        <w:t xml:space="preserve">Same card, opposite direction. Tow-vehicle variant: truck icon, fuel field shown (diesel), amber combined-length strip — checked against every campground site for fit. Direction is set automatically by rig type.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4. Travel Style — interests, clean resting state</w:t>
      </w:r>
    </w:p>
    <w:p>
      <w:pPr>
        <w:pBdr>
          <w:bottom w:val="single" w:color="C8841E" w:sz="4" w:space="2"/>
        </w:pBdr>
        <w:spacing w:after="160"/>
      </w:pPr>
      <w:r>
        <w:rPr>
          <w:i/>
          <w:iCs/>
          <w:color w:val="c8841e"/>
          <w:sz w:val="20"/>
          <w:szCs w:val="20"/>
        </w:rPr>
        <w:t xml:space="preserve">Hand-off section 4 — Travel Style: custom interests + clean state</w:t>
      </w:r>
    </w:p>
    <w:p>
      <w:pPr>
        <w:spacing w:after="160"/>
        <w:jc w:val="center"/>
      </w:pPr>
      <w:r>
        <w:drawing>
          <wp:inline distT="0" distB="0" distL="0" distR="0">
            <wp:extent cx="571500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  <w:sz w:val="20"/>
          <w:szCs w:val="20"/>
        </w:rPr>
        <w:t xml:space="preserve">Notes:  </w:t>
      </w:r>
      <w:r>
        <w:rPr>
          <w:sz w:val="20"/>
          <w:szCs w:val="20"/>
        </w:rPr>
        <w:t xml:space="preserve">Resting state shows only selected + custom chips (“Horseback riding” is a custom add) plus “Add your own.” Unselected presets collapse behind “More interests (7).” New users see the full list expanded.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5. Memberships — AI per-stop choice card</w:t>
      </w:r>
    </w:p>
    <w:p>
      <w:pPr>
        <w:pBdr>
          <w:bottom w:val="single" w:color="C8841E" w:sz="4" w:space="2"/>
        </w:pBdr>
        <w:spacing w:after="160"/>
      </w:pPr>
      <w:r>
        <w:rPr>
          <w:i/>
          <w:iCs/>
          <w:color w:val="c8841e"/>
          <w:sz w:val="20"/>
          <w:szCs w:val="20"/>
        </w:rPr>
        <w:t xml:space="preserve">Hand-off section 5 — Memberships: per-stop choice flow</w:t>
      </w:r>
    </w:p>
    <w:p>
      <w:pPr>
        <w:spacing w:after="160"/>
        <w:jc w:val="center"/>
      </w:pPr>
      <w:r>
        <w:drawing>
          <wp:inline distT="0" distB="0" distL="0" distR="0">
            <wp:extent cx="571500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  <w:sz w:val="20"/>
          <w:szCs w:val="20"/>
        </w:rPr>
        <w:t xml:space="preserve">Notes:  </w:t>
      </w:r>
      <w:r>
        <w:rPr>
          <w:sz w:val="20"/>
          <w:szCs w:val="20"/>
        </w:rPr>
        <w:t xml:space="preserve">Opens when the user taps “Review options” on a stop. Presents the membership option (with savings) beside a higher-rated non-member option and lets the user choose. Memberships inform, never hard-lock.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6. Memberships — per-stop review on the built itinerary</w:t>
      </w:r>
    </w:p>
    <w:p>
      <w:pPr>
        <w:pBdr>
          <w:bottom w:val="single" w:color="C8841E" w:sz="4" w:space="2"/>
        </w:pBdr>
        <w:spacing w:after="160"/>
      </w:pPr>
      <w:r>
        <w:rPr>
          <w:i/>
          <w:iCs/>
          <w:color w:val="c8841e"/>
          <w:sz w:val="20"/>
          <w:szCs w:val="20"/>
        </w:rPr>
        <w:t xml:space="preserve">Hand-off section 5 — Memberships: per-stop choice flow</w:t>
      </w:r>
    </w:p>
    <w:p>
      <w:pPr>
        <w:spacing w:after="160"/>
        <w:jc w:val="center"/>
      </w:pPr>
      <w:r>
        <w:drawing>
          <wp:inline distT="0" distB="0" distL="0" distR="0">
            <wp:extent cx="5715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  <w:sz w:val="20"/>
          <w:szCs w:val="20"/>
        </w:rPr>
        <w:t xml:space="preserve">Notes:  </w:t>
      </w:r>
      <w:r>
        <w:rPr>
          <w:sz w:val="20"/>
          <w:szCs w:val="20"/>
        </w:rPr>
        <w:t xml:space="preserve">The post-build review pass. The itinerary is built first with smart defaults; each stop has “Review options.” Night 3 = discount membership (savings), Night 7 = network membership (a stay unlocked by Harvest Hosts).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a98c1757e2e46d6a8f91517933f91fd25c17f0d.undefined"/><Relationship Id="rId8" Type="http://schemas.openxmlformats.org/officeDocument/2006/relationships/image" Target="media/84756274fd1493408648d44effd3e6ac1e15ac3e.undefined"/><Relationship Id="rId9" Type="http://schemas.openxmlformats.org/officeDocument/2006/relationships/image" Target="media/8c5d63dea24d28413e1f2e0662080eefe8fc49d4.undefined"/><Relationship Id="rId10" Type="http://schemas.openxmlformats.org/officeDocument/2006/relationships/image" Target="media/7cd66910de11ddd22fbe29de5fbdd5a3e75daf64.undefined"/><Relationship Id="rId11" Type="http://schemas.openxmlformats.org/officeDocument/2006/relationships/image" Target="media/b32b8b3bb13eca0a88100a32a72e91766680bd5c.undefined"/><Relationship Id="rId12" Type="http://schemas.openxmlformats.org/officeDocument/2006/relationships/image" Target="media/764937dc05956693781a1fa6cb54f1924bf74ecc.undefined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2026-05-20T19:54:28.811Z</dcterms:created>
  <dcterms:modified xsi:type="dcterms:W3CDTF">2026-05-20T19:54:28.823Z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