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rFonts w:ascii="Calibri Light" w:hAnsi="Calibri Light"/>
          <w:b/>
          <w:color w:val="1C1A83"/>
          <w:sz w:val="72"/>
        </w:rPr>
        <w:t>EDS Database - Circular Dependency Analysis</w:t>
      </w:r>
    </w:p>
    <w:p>
      <w:pPr>
        <w:jc w:val="center"/>
      </w:pPr>
      <w:r>
        <w:rPr>
          <w:rFonts w:ascii="Calibri" w:hAnsi="Calibri"/>
          <w:color w:val="1A365D"/>
          <w:sz w:val="32"/>
        </w:rPr>
        <w:t>Circular Dependencies Analysis</w:t>
      </w:r>
    </w:p>
    <w:p/>
    <w:p/>
    <w:p/>
    <w:p/>
    <w:p>
      <w:pPr>
        <w:spacing w:before="120" w:after="120"/>
        <w:pBdr>
          <w:bottom w:val="single" w:sz="6" w:space="1" w:color="CCCCCC"/>
        </w:pBdr>
      </w:pPr>
    </w:p>
    <w:p>
      <w:pPr>
        <w:jc w:val="center"/>
      </w:pPr>
      <w:r>
        <w:rPr>
          <w:rFonts w:ascii="Calibri" w:hAnsi="Calibri"/>
          <w:color w:val="1A365D"/>
          <w:sz w:val="24"/>
        </w:rPr>
        <w:t>EDS Universal Requisition System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Generated: January 22, 2026</w:t>
      </w:r>
    </w:p>
    <w:p>
      <w:r>
        <w:br w:type="page"/>
      </w:r>
    </w:p>
    <w:p>
      <w:pPr>
        <w:pStyle w:val="DocTitle"/>
      </w:pPr>
      <w:r>
        <w:t>EDS Database - Circular Dependency Analysis</w:t>
      </w:r>
    </w:p>
    <w:p>
      <w:r>
        <w:t>Generated: 2026-01-09 12:13:40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Total Procedures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395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Procedures with calls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127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Self-calling procedures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34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Circular dependency chains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Max call depth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Self-Calling Procedures (Recursive)</w:t>
      </w:r>
    </w:p>
    <w:p>
      <w:r>
        <w:t>These procedures call themselves, which may be intentional recursion:</w:t>
      </w:r>
    </w:p>
    <w:p>
      <w:pPr>
        <w:pStyle w:val="ListBullet"/>
      </w:pPr>
      <w:r>
        <w:rPr>
          <w:rFonts w:ascii="Consolas" w:hAnsi="Consolas"/>
          <w:sz w:val="20"/>
        </w:rPr>
        <w:t>bid2xls</w:t>
      </w:r>
    </w:p>
    <w:p>
      <w:pPr>
        <w:pStyle w:val="ListBullet"/>
      </w:pPr>
      <w:r>
        <w:rPr>
          <w:rFonts w:ascii="Consolas" w:hAnsi="Consolas"/>
          <w:sz w:val="20"/>
        </w:rPr>
        <w:t>sp_AwardBidHeader</w:t>
      </w:r>
    </w:p>
    <w:p>
      <w:pPr>
        <w:pStyle w:val="ListBullet"/>
      </w:pPr>
      <w:r>
        <w:rPr>
          <w:rFonts w:ascii="Consolas" w:hAnsi="Consolas"/>
          <w:sz w:val="20"/>
        </w:rPr>
        <w:t>sp_BidCompareSummary</w:t>
      </w:r>
    </w:p>
    <w:p>
      <w:pPr>
        <w:pStyle w:val="ListBullet"/>
      </w:pPr>
      <w:r>
        <w:rPr>
          <w:rFonts w:ascii="Consolas" w:hAnsi="Consolas"/>
          <w:sz w:val="20"/>
        </w:rPr>
        <w:t>sp_BidCopyWithIncrease</w:t>
      </w:r>
    </w:p>
    <w:p>
      <w:pPr>
        <w:pStyle w:val="ListBullet"/>
      </w:pPr>
      <w:r>
        <w:rPr>
          <w:rFonts w:ascii="Consolas" w:hAnsi="Consolas"/>
          <w:sz w:val="20"/>
        </w:rPr>
        <w:t>sp_BringBillingForward</w:t>
      </w:r>
    </w:p>
    <w:p>
      <w:pPr>
        <w:pStyle w:val="ListBullet"/>
      </w:pPr>
      <w:r>
        <w:rPr>
          <w:rFonts w:ascii="Consolas" w:hAnsi="Consolas"/>
          <w:sz w:val="20"/>
        </w:rPr>
        <w:t>sp_BringBillingForwardState</w:t>
      </w:r>
    </w:p>
    <w:p>
      <w:pPr>
        <w:pStyle w:val="ListBullet"/>
      </w:pPr>
      <w:r>
        <w:rPr>
          <w:rFonts w:ascii="Consolas" w:hAnsi="Consolas"/>
          <w:sz w:val="20"/>
        </w:rPr>
        <w:t>sp_CCUpdateUserAccounts_2</w:t>
      </w:r>
    </w:p>
    <w:p>
      <w:pPr>
        <w:pStyle w:val="ListBullet"/>
      </w:pPr>
      <w:r>
        <w:rPr>
          <w:rFonts w:ascii="Consolas" w:hAnsi="Consolas"/>
          <w:sz w:val="20"/>
        </w:rPr>
        <w:t>sp_CXmlLogin</w:t>
      </w:r>
    </w:p>
    <w:p>
      <w:pPr>
        <w:pStyle w:val="ListBullet"/>
      </w:pPr>
      <w:r>
        <w:rPr>
          <w:rFonts w:ascii="Consolas" w:hAnsi="Consolas"/>
          <w:sz w:val="20"/>
        </w:rPr>
        <w:t>sp_CatalogImporter</w:t>
      </w:r>
    </w:p>
    <w:p>
      <w:pPr>
        <w:pStyle w:val="ListBullet"/>
      </w:pPr>
      <w:r>
        <w:rPr>
          <w:rFonts w:ascii="Consolas" w:hAnsi="Consolas"/>
          <w:sz w:val="20"/>
        </w:rPr>
        <w:t>sp_CopyBudgetAmounts</w:t>
      </w:r>
    </w:p>
    <w:p>
      <w:pPr>
        <w:pStyle w:val="ListBullet"/>
      </w:pPr>
      <w:r>
        <w:rPr>
          <w:rFonts w:ascii="Consolas" w:hAnsi="Consolas"/>
          <w:sz w:val="20"/>
        </w:rPr>
        <w:t>sp_DSHeadings</w:t>
      </w:r>
    </w:p>
    <w:p>
      <w:pPr>
        <w:pStyle w:val="ListBullet"/>
      </w:pPr>
      <w:r>
        <w:rPr>
          <w:rFonts w:ascii="Consolas" w:hAnsi="Consolas"/>
          <w:sz w:val="20"/>
        </w:rPr>
        <w:t>sp_FA_RequisitionsTotals</w:t>
      </w:r>
    </w:p>
    <w:p>
      <w:pPr>
        <w:pStyle w:val="ListBullet"/>
      </w:pPr>
      <w:r>
        <w:rPr>
          <w:rFonts w:ascii="Consolas" w:hAnsi="Consolas"/>
          <w:sz w:val="20"/>
        </w:rPr>
        <w:t>sp_UpdatePricePlan</w:t>
      </w:r>
    </w:p>
    <w:p>
      <w:pPr>
        <w:pStyle w:val="ListBullet"/>
      </w:pPr>
      <w:r>
        <w:rPr>
          <w:rFonts w:ascii="Consolas" w:hAnsi="Consolas"/>
          <w:sz w:val="20"/>
        </w:rPr>
        <w:t>usp_BidMatchRefs</w:t>
      </w:r>
    </w:p>
    <w:p>
      <w:pPr>
        <w:pStyle w:val="ListBullet"/>
      </w:pPr>
      <w:r>
        <w:rPr>
          <w:rFonts w:ascii="Consolas" w:hAnsi="Consolas"/>
          <w:sz w:val="20"/>
        </w:rPr>
        <w:t>usp_BidRanking</w:t>
      </w:r>
    </w:p>
    <w:p>
      <w:pPr>
        <w:pStyle w:val="ListBullet"/>
      </w:pPr>
      <w:r>
        <w:rPr>
          <w:rFonts w:ascii="Consolas" w:hAnsi="Consolas"/>
          <w:sz w:val="20"/>
        </w:rPr>
        <w:t>usp_BringAccountsForward</w:t>
      </w:r>
    </w:p>
    <w:p>
      <w:pPr>
        <w:pStyle w:val="ListBullet"/>
      </w:pPr>
      <w:r>
        <w:rPr>
          <w:rFonts w:ascii="Consolas" w:hAnsi="Consolas"/>
          <w:sz w:val="20"/>
        </w:rPr>
        <w:t>usp_CopyRequisition</w:t>
      </w:r>
    </w:p>
    <w:p>
      <w:pPr>
        <w:pStyle w:val="ListBullet"/>
      </w:pPr>
      <w:r>
        <w:rPr>
          <w:rFonts w:ascii="Consolas" w:hAnsi="Consolas"/>
          <w:sz w:val="20"/>
        </w:rPr>
        <w:t>usp_GetImageList</w:t>
      </w:r>
    </w:p>
    <w:p>
      <w:pPr>
        <w:pStyle w:val="ListBullet"/>
      </w:pPr>
      <w:r>
        <w:rPr>
          <w:rFonts w:ascii="Consolas" w:hAnsi="Consolas"/>
          <w:sz w:val="20"/>
        </w:rPr>
        <w:t>usp_GetPODetail</w:t>
      </w:r>
    </w:p>
    <w:p>
      <w:pPr>
        <w:pStyle w:val="ListBullet"/>
      </w:pPr>
      <w:r>
        <w:rPr>
          <w:rFonts w:ascii="Consolas" w:hAnsi="Consolas"/>
          <w:sz w:val="20"/>
        </w:rPr>
        <w:t>usp_GetPODetail_Test</w:t>
      </w:r>
    </w:p>
    <w:p>
      <w:pPr>
        <w:pStyle w:val="ListBullet"/>
      </w:pPr>
      <w:r>
        <w:rPr>
          <w:rFonts w:ascii="Consolas" w:hAnsi="Consolas"/>
          <w:sz w:val="20"/>
        </w:rPr>
        <w:t>usp_GetPOs</w:t>
      </w:r>
    </w:p>
    <w:p>
      <w:pPr>
        <w:pStyle w:val="ListBullet"/>
      </w:pPr>
      <w:r>
        <w:rPr>
          <w:rFonts w:ascii="Consolas" w:hAnsi="Consolas"/>
          <w:sz w:val="20"/>
        </w:rPr>
        <w:t>usp_OrderEZVendors</w:t>
      </w:r>
    </w:p>
    <w:p>
      <w:pPr>
        <w:pStyle w:val="ListBullet"/>
      </w:pPr>
      <w:r>
        <w:rPr>
          <w:rFonts w:ascii="Consolas" w:hAnsi="Consolas"/>
          <w:sz w:val="20"/>
        </w:rPr>
        <w:t>usp_POStatusByState</w:t>
      </w:r>
    </w:p>
    <w:p>
      <w:pPr>
        <w:pStyle w:val="ListBullet"/>
      </w:pPr>
      <w:r>
        <w:rPr>
          <w:rFonts w:ascii="Consolas" w:hAnsi="Consolas"/>
          <w:sz w:val="20"/>
        </w:rPr>
        <w:t>usp_SDSDocs</w:t>
      </w:r>
    </w:p>
    <w:p>
      <w:pPr>
        <w:pStyle w:val="ListBullet"/>
      </w:pPr>
      <w:r>
        <w:rPr>
          <w:rFonts w:ascii="Consolas" w:hAnsi="Consolas"/>
          <w:sz w:val="20"/>
        </w:rPr>
        <w:t>usp_SearchItemsByReqHKDS</w:t>
      </w:r>
    </w:p>
    <w:p>
      <w:pPr>
        <w:pStyle w:val="ListBullet"/>
      </w:pPr>
      <w:r>
        <w:rPr>
          <w:rFonts w:ascii="Consolas" w:hAnsi="Consolas"/>
          <w:sz w:val="20"/>
        </w:rPr>
        <w:t>usp_SearchItemsByReqHKDSDavid</w:t>
      </w:r>
    </w:p>
    <w:p>
      <w:pPr>
        <w:pStyle w:val="ListBullet"/>
      </w:pPr>
      <w:r>
        <w:rPr>
          <w:rFonts w:ascii="Consolas" w:hAnsi="Consolas"/>
          <w:sz w:val="20"/>
        </w:rPr>
        <w:t>usp_SearchVendors</w:t>
      </w:r>
    </w:p>
    <w:p>
      <w:pPr>
        <w:pStyle w:val="ListBullet"/>
      </w:pPr>
      <w:r>
        <w:rPr>
          <w:rFonts w:ascii="Consolas" w:hAnsi="Consolas"/>
          <w:sz w:val="20"/>
        </w:rPr>
        <w:t>usp_SetPricing</w:t>
      </w:r>
    </w:p>
    <w:p>
      <w:pPr>
        <w:pStyle w:val="ListBullet"/>
      </w:pPr>
      <w:r>
        <w:rPr>
          <w:rFonts w:ascii="Consolas" w:hAnsi="Consolas"/>
          <w:sz w:val="20"/>
        </w:rPr>
        <w:t>usp_TransactionLogMover</w:t>
      </w:r>
    </w:p>
    <w:p>
      <w:pPr>
        <w:pStyle w:val="ListBullet"/>
      </w:pPr>
      <w:r>
        <w:rPr>
          <w:rFonts w:ascii="Consolas" w:hAnsi="Consolas"/>
          <w:sz w:val="20"/>
        </w:rPr>
        <w:t>usp_VendorStatsCYvsLY</w:t>
      </w:r>
    </w:p>
    <w:p>
      <w:pPr>
        <w:pStyle w:val="ListBullet"/>
      </w:pPr>
      <w:r>
        <w:rPr>
          <w:rFonts w:ascii="Consolas" w:hAnsi="Consolas"/>
          <w:sz w:val="20"/>
        </w:rPr>
        <w:t>usp_WaitingTasks</w:t>
      </w:r>
    </w:p>
    <w:p>
      <w:pPr>
        <w:pStyle w:val="ListBullet"/>
      </w:pPr>
      <w:r>
        <w:rPr>
          <w:rFonts w:ascii="Consolas" w:hAnsi="Consolas"/>
          <w:sz w:val="20"/>
        </w:rPr>
        <w:t>usp_getMyLastYearsReqs</w:t>
      </w:r>
    </w:p>
    <w:p>
      <w:pPr>
        <w:pStyle w:val="ListBullet"/>
      </w:pPr>
      <w:r>
        <w:rPr>
          <w:rFonts w:ascii="Consolas" w:hAnsi="Consolas"/>
          <w:sz w:val="20"/>
        </w:rPr>
        <w:t>usp_getSDSDocsDistrict</w:t>
      </w:r>
    </w:p>
    <w:p>
      <w:pPr>
        <w:pStyle w:val="ListBullet"/>
      </w:pPr>
      <w:r>
        <w:rPr>
          <w:rFonts w:ascii="Consolas" w:hAnsi="Consolas"/>
          <w:sz w:val="20"/>
        </w:rPr>
        <w:t>usp_getSDSDocsUser</w:t>
      </w:r>
    </w:p>
    <w:p>
      <w:r>
        <w:rPr>
          <w:b/>
        </w:rPr>
        <w:t>Note:</w:t>
      </w:r>
      <w:r>
        <w:t xml:space="preserve"> Self-recursion can be intentional (tree traversal, hierarchical data) or a bug. Review each case.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Circular Dependency Chains</w:t>
      </w:r>
    </w:p>
    <w:p>
      <w:r>
        <w:rPr>
          <w:i/>
        </w:rPr>
        <w:t>No circular dependency chains found (good!)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Deepest Call Chains</w:t>
      </w:r>
    </w:p>
    <w:p>
      <w:r>
        <w:t>Procedures with the deepest call hierarchies: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Procedure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Max Depth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sp_ProcessCopyRequests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usp_getSDSDocsAll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sp_AddISBN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sp_CopyReqs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sp_easyadd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sp_CombineReqs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usp_SetPricing_SearchDataDB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usp_getSDSDocsDistrict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usp_GetVendorPricing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sp_DeleteEmptyReqs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usp_SearchItemsByReqHKDSError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usp_SearchItemsByReqHKDS_David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sp_ISBNAdd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sp_ConvertReadyBatches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sp_ConvertReqs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sp_CopyReqsBulk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sp_CreateOrderBook03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sp_UpdateReqDetailItem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sp_UpdateReqDetailPricePlan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sp_UpdateReqHeader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dt_addtosourcecontrol_u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dt_checkinobject_u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dt_checkoutobject_u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usp_GetPODetail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dt_isundersourcecontrol_u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</w:t>
            </w:r>
          </w:p>
        </w:tc>
      </w:tr>
    </w:tbl>
    <w:p/>
    <w:p>
      <w:r>
        <w:rPr>
          <w:b/>
        </w:rPr>
        <w:t>Note:</w:t>
      </w:r>
      <w:r>
        <w:t xml:space="preserve"> Deep call chains (&gt;5 levels) may indicate complex business logic that could benefit from refactoring.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Recommendations</w:t>
      </w:r>
    </w:p>
    <w:p>
      <w:pPr>
        <w:pStyle w:val="Heading2"/>
      </w:pPr>
      <w:r>
        <w:t>Self-Calling Procedures</w:t>
      </w:r>
    </w:p>
    <w:p>
      <w:pPr>
        <w:pStyle w:val="ListNumber"/>
      </w:pPr>
      <w:r>
        <w:t>Verify each self-calling procedure has proper termination conditions</w:t>
      </w:r>
    </w:p>
    <w:p>
      <w:pPr>
        <w:pStyle w:val="ListNumber"/>
      </w:pPr>
      <w:r>
        <w:t>Check for maximum recursion depth limits (SQL Server default: 32)</w:t>
      </w:r>
    </w:p>
    <w:p>
      <w:pPr>
        <w:pStyle w:val="ListNumber"/>
      </w:pPr>
      <w:r>
        <w:t>Consider using CTEs for recursive operations instead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C1A8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1A365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A365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 Title"/>
    <w:pPr>
      <w:spacing w:after="240" w:before="0"/>
    </w:pPr>
    <w:rPr>
      <w:rFonts w:ascii="Calibri Light" w:hAnsi="Calibri Light"/>
      <w:b/>
      <w:color w:val="1C1A83"/>
      <w:sz w:val="56"/>
    </w:rPr>
  </w:style>
  <w:style w:type="paragraph" w:customStyle="1" w:styleId="Code">
    <w:name w:val="Code"/>
    <w:pPr>
      <w:spacing w:before="120" w:after="120"/>
      <w:ind w:left="360"/>
    </w:pPr>
    <w:rPr>
      <w:rFonts w:ascii="Consolas" w:hAnsi="Consolas"/>
      <w:sz w:val="18"/>
    </w:rPr>
  </w:style>
  <w:style w:type="character" w:customStyle="1" w:styleId="CodeChar">
    <w:name w:val="Code Char"/>
    <w:rPr>
      <w:rFonts w:ascii="Consolas" w:hAnsi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