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pptlbhhub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coreid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displayname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event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EventEnqueuedUtcTime 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EventProcessedUtcTime datetime,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guid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location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measurename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organization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PartitionId bigint,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published_at 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subject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timecreated 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unitofmeasure nvarchar(max),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value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coreid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,displayname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,EventEnqueuedUtcTime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,EventProcessedUtcTime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,guid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,measurename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,organization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,PartitionId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,published_at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,subject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,timecreated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,unitofmeasure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,value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pptlbhdata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pptlbhhub;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