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Repurposing the Forensic DS-36 (Dye Set J6) Matrix Standard for ROX-Based Sizing of Multiplex Ligation-Dependent Probe Amplification (MLPA) Products on the Applied Biosystems 3500xl Genetic Analyzer: An Interoperable Fragment Analysis Protocol</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Authors: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Benyam Zenebe¹, Gadissa Gutema¹'², Gurja Belay¹, Helen Nigussie¹</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Affiliations: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¹Department of Microbial Sciences and Genetics, School of Biological Sciences, College of Natural and Computational Sciences, Addis Ababa University, Addis Ababa, Ethiopia.</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²HIV and STI Research Division, Ethiopian Public Health Institute, Addis Ababa, Ethiopia.</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Corresponding author: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Benyam Zenebe (benyam.zenebe@aau.edu.et)</w:t>
      </w: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Keywords: </w:t>
      </w:r>
    </w:p>
    <w:p>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ABI 3500xl, Capillary electrophoresis, DS-36 Matrix Standard, Dye interoperability, MRC-550 ROX Size Standard, Multiplex Ligation-dependent Probe Amplification (MLPA), Spectral calibration, Supply-chain resilience.</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Abstract</w:t>
      </w:r>
    </w:p>
    <w:p>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Background:</w:t>
      </w:r>
      <w:r>
        <w:rPr>
          <w:rFonts w:hint="default" w:ascii="Times New Roman" w:hAnsi="Times New Roman" w:cs="Times New Roman"/>
          <w:sz w:val="24"/>
          <w:szCs w:val="24"/>
        </w:rPr>
        <w:t xml:space="preserve"> Essential proprietary matrix standards, such as the ROX-based DS-30 (Dye set D) matrix standard used for spectral calibration during MLPA fragment analysis, may be vulnerable to supply chain disruptions with such bottlenecks causing critical delays in copy number variation analyses, particularly in resource-limited settings. Severe procurement constraints: unavailability of the required DS-30 matrix standard and recommended GeneScan™ 500 ROX™ size standard threatened to halt an essential prenatal study of fetal chromosomal disorders triggering the present validation study.</w:t>
      </w:r>
    </w:p>
    <w:p>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Objective:</w:t>
      </w:r>
      <w:r>
        <w:rPr>
          <w:rFonts w:hint="default" w:ascii="Times New Roman" w:hAnsi="Times New Roman" w:cs="Times New Roman"/>
          <w:sz w:val="24"/>
          <w:szCs w:val="24"/>
        </w:rPr>
        <w:t xml:space="preserve"> This study evaluated substitution of the forensic DS-36 matrix standard for the proprietary DS-30 matrix standard for spectral calibration on the ABI 3500xl Genetic Analyzer. By substituting the GeneScan 500 ROX with MRC-550 ROX </w:t>
      </w:r>
      <w:r>
        <w:rPr>
          <w:rFonts w:hint="default" w:ascii="Times New Roman" w:hAnsi="Times New Roman" w:cs="Times New Roman"/>
          <w:sz w:val="24"/>
          <w:szCs w:val="24"/>
          <w:lang w:val="en-US"/>
        </w:rPr>
        <w:t xml:space="preserve">size standard </w:t>
      </w:r>
      <w:r>
        <w:rPr>
          <w:rFonts w:hint="default" w:ascii="Times New Roman" w:hAnsi="Times New Roman" w:cs="Times New Roman"/>
          <w:sz w:val="24"/>
          <w:szCs w:val="24"/>
        </w:rPr>
        <w:t>and applying experimental channel re-mapping, we demonstrated the J6 dye set can be successfully repurposed for accurate ROX-based sizing of MLPA amplified fragments.</w:t>
      </w:r>
    </w:p>
    <w:p>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Methods:</w:t>
      </w:r>
      <w:r>
        <w:rPr>
          <w:rFonts w:hint="default" w:ascii="Times New Roman" w:hAnsi="Times New Roman" w:cs="Times New Roman"/>
          <w:sz w:val="24"/>
          <w:szCs w:val="24"/>
        </w:rPr>
        <w:t xml:space="preserve"> Spectral calibration was performed on the ABI 3500xl using DS-36 matrix standard, and subsequent MLPA data were analyzed by selecting Dye Set D in Coffalyser.Net software. All downstream computations were performed using custom Python scripts executed within the Google Colab computing environment. Experiment validation was conducted in accordance with CLSI and ACMG guidelines across five </w:t>
      </w:r>
      <w:r>
        <w:rPr>
          <w:rFonts w:hint="default" w:ascii="Times New Roman" w:hAnsi="Times New Roman" w:cs="Times New Roman"/>
          <w:sz w:val="24"/>
          <w:szCs w:val="24"/>
          <w:lang w:val="en-US"/>
        </w:rPr>
        <w:t>separate</w:t>
      </w:r>
      <w:r>
        <w:rPr>
          <w:rFonts w:hint="default" w:ascii="Times New Roman" w:hAnsi="Times New Roman" w:cs="Times New Roman"/>
          <w:sz w:val="24"/>
          <w:szCs w:val="24"/>
        </w:rPr>
        <w:t xml:space="preserve"> runs (120 total wells: 80 ROX baseline wells and 40 MLPA wells of 8 specimens amplified via SALSA MLPA P095-A4 Aneuploidy probe mix). Analysis of 36 target probes yielded 1,380 probe observations.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 xml:space="preserve">Results: Spectral calibration using DS-36 matrix standard properly resolved 6-FAM probe signals while accurately deconvoluting MRC-550 ROX peaks inside the SID virtual channel of the matrix standard. Electrophoretic sizing demonstrated a predictable positive migration bias of +1.492 nt (MAPE: 0.555%), normalized using bin boundary adjustments (≤1.492 nt). Probe sizing linearity across 136–454 nt diagnostic range was excellent (R² = 0.9994). Sizing repeatability was robust (mean SD: 1.492 nt; ICC: 0.991). Limit of Blank (LoB) of 226.2 RFU and 277.7 RFU, respectively. </w:t>
      </w:r>
    </w:p>
    <w:p>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Conclusion:</w:t>
      </w:r>
      <w:r>
        <w:rPr>
          <w:rFonts w:hint="default" w:ascii="Times New Roman" w:hAnsi="Times New Roman" w:cs="Times New Roman"/>
          <w:sz w:val="24"/>
          <w:szCs w:val="24"/>
        </w:rPr>
        <w:t xml:space="preserve"> Empirical channel re-mapping allows the forensic DS-36 matrix standard to function as an accurate spectral calibrator for ROX-based MLPA fragment analysis. </w:t>
      </w:r>
    </w:p>
    <w:p>
      <w:p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This approach reduces dependency on single-source proprietary reagents, offering a practical strategy to maintain diagnostic continuity in resource-limited settings, while promising enhanced analytical resilience. </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pStyle w:val="49"/>
        <w:numPr>
          <w:ilvl w:val="0"/>
          <w:numId w:val="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Introduction</w:t>
      </w:r>
    </w:p>
    <w:p>
      <w:pPr>
        <w:pStyle w:val="49"/>
        <w:numPr>
          <w:ilvl w:val="1"/>
          <w:numId w:val="1"/>
        </w:numPr>
        <w:spacing w:line="360" w:lineRule="auto"/>
        <w:jc w:val="both"/>
        <w:rPr>
          <w:rFonts w:hint="default" w:ascii="Times New Roman" w:hAnsi="Times New Roman" w:cs="Times New Roman"/>
          <w:b/>
          <w:sz w:val="24"/>
          <w:szCs w:val="24"/>
        </w:rPr>
      </w:pPr>
      <w:r>
        <w:rPr>
          <w:rFonts w:hint="default" w:ascii="Times New Roman" w:hAnsi="Times New Roman" w:cs="Times New Roman"/>
          <w:b/>
          <w:bCs/>
          <w:sz w:val="24"/>
          <w:szCs w:val="24"/>
        </w:rPr>
        <w:t>Utility of Multiplex Ligation-Dependent Probe Amplification in Genetic Diagnostics and Research</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Multiplex Ligation-dependent Probe Amplification (MLPA) is a well-established molecular technique used to detect copy-number variations (CNVs) associated with various genetic conditions, including fetal chromosomal abnormalities. MLPA is highly effective for diagnostic use since it can quantify up to 50 target regions from as little as 50 ng of genomic DNA (Schouten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2002; Stuppia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2012). In prenatal diagnostics, MLPA is routinely used to identify chromosomal disorders such as aneuploidies and micro-deletion/micro-duplication syndromes, which are common causes of congenital anomalies (Kooper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2008; Boormans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2010). Studies have confirmed its reliability in detecting fetal conditions including trisomy 13, trisomy 18, and trisomy 21, as well as Prader-Willi syndrome, DiGeorge syndrome, and subtelomeric rearrangements (Van Opstal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2009; Massalska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2013). MLPA assisted detection of prenatal chromosomal disorders can initiate early interventions or alternative management plans that can significantly shape the outcomes of affected cases (Massalska </w:t>
      </w:r>
      <w:r>
        <w:rPr>
          <w:rFonts w:hint="default" w:ascii="Times New Roman" w:hAnsi="Times New Roman" w:cs="Times New Roman"/>
          <w:i/>
          <w:iCs/>
          <w:sz w:val="24"/>
          <w:szCs w:val="24"/>
        </w:rPr>
        <w:t>et al</w:t>
      </w:r>
      <w:r>
        <w:rPr>
          <w:rFonts w:hint="default" w:ascii="Times New Roman" w:hAnsi="Times New Roman" w:cs="Times New Roman"/>
          <w:sz w:val="24"/>
          <w:szCs w:val="24"/>
        </w:rPr>
        <w:t>., 2013).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MLPA reactions yield fluorescently labelled fragments that, on multicolor capillary electrophoresis platforms such as the Applied Biosystems 3500 series genetic analyzers, are detected simultaneously (Schouten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2002; Green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2021). In order to accurately assign each fluorescence signal to its correct dye channel, spectral calibration must be performed using a matrix standard that characterizes the spectral overlap of the dyes in the system (Green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2021). This ensures matrix deconvolution which corrects for dye spectral overlap enabling accurate fluoresce peak quantification and fragment sizing relative to reference standards. The integration of proper spectral calibration minimizes background noise and maintains a linear signal response, allowing for the reliable detection of copy-number variations (CNVs) across as many as 50 multiplexed probes per reaction (Schouten </w:t>
      </w:r>
      <w:r>
        <w:rPr>
          <w:rFonts w:hint="default" w:ascii="Times New Roman" w:hAnsi="Times New Roman" w:cs="Times New Roman"/>
          <w:i/>
          <w:iCs/>
          <w:sz w:val="24"/>
          <w:szCs w:val="24"/>
        </w:rPr>
        <w:t>et al</w:t>
      </w:r>
      <w:r>
        <w:rPr>
          <w:rFonts w:hint="default" w:ascii="Times New Roman" w:hAnsi="Times New Roman" w:cs="Times New Roman"/>
          <w:sz w:val="24"/>
          <w:szCs w:val="24"/>
        </w:rPr>
        <w:t>., 2002; Kovach, 2023).</w:t>
      </w:r>
      <w:r>
        <w:rPr>
          <w:rFonts w:hint="default" w:ascii="Times New Roman" w:hAnsi="Times New Roman" w:cs="Times New Roman"/>
          <w:sz w:val="24"/>
          <w:szCs w:val="24"/>
        </w:rPr>
        <w:tab/>
      </w:r>
    </w:p>
    <w:p>
      <w:pPr>
        <w:pStyle w:val="49"/>
        <w:numPr>
          <w:ilvl w:val="1"/>
          <w:numId w:val="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Supply Chain Vulnerabilities in Laboratory Diagnostics/research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COVID-19 pandemic exposed just how fragile   global supply chains look like. To keep services running, laboratories were forced to adopt immediate workarounds, such as exchanging reagents, using alternative verification methods, and local resource sharing (Peaper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2024). However, in resource-limited settings, supply shortages are chronic issues rather than temporary inconveniences. Regular stock-outs of basic reagents continually threaten the quality of laboratory work (Girma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2018). In public hospitals across Addis Ababa, Ethiopia, for example, these supply gaps routinely cause severe adjournments in diagnostic workflows (Sisay </w:t>
      </w:r>
      <w:r>
        <w:rPr>
          <w:rFonts w:hint="default" w:ascii="Times New Roman" w:hAnsi="Times New Roman" w:cs="Times New Roman"/>
          <w:i/>
          <w:iCs/>
          <w:sz w:val="24"/>
          <w:szCs w:val="24"/>
        </w:rPr>
        <w:t>et al.</w:t>
      </w:r>
      <w:r>
        <w:rPr>
          <w:rFonts w:hint="default" w:ascii="Times New Roman" w:hAnsi="Times New Roman" w:cs="Times New Roman"/>
          <w:sz w:val="24"/>
          <w:szCs w:val="24"/>
        </w:rPr>
        <w:t>, 2019). Whenever a laboratory or research project depends entirely on a single supplier for a specialized assay, any disruption creates a massive bottleneck (Magableh, 2021; Santacreu &amp; LaBelle, 2022).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Capillary electrophoresis (CE) platforms, such as the Applied Biosystems 3500 series, clearly illustrate this problem because they require proprietary matrix standard dye sets to perform spectral calibration. If a research or diagnostic laboratory cannot procure those exact reagents, analytical capacity is consequently halted (Cornish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2023; Hilborne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2022). For low-income settings already struggling with import delays and complex procurement rules, this kind of strict vendor lock-in may be operationally paralyzing.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One practical solution is to evaluate adjacent fields that mass-produce such reagents. Forensic laboratories, for example, process massive volumes of samples using standardized, multi-dye short tandem repeat (STR) kits. This high demand ensures a steady, reliable global supply of their calibration standards. The development of highly multiplexed forensic assays, such as the 6-dye VeriFiler Plus system, demonstrates how this field continuously optimizes advanced, multi-channel workflows for capillary electrophoresis platforms (Green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2021). The forensic domain inherently relies on continuous high-throughput operational infrastructure to meet global human identification (HID) demands and prevent critical workflow backlogs (Wickenheiser, 2022). This massive, sustained market volume ensures a steady supply of advanced consumables for the ABI 3500 series, such as the Dye Set J6 (DS-36) matrix standard. In this study, we leverage such industrial availability by prospectively validating the integration of a forensic-grade matrix standard into a diagnostic fragment analysis workflow.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motivation for this interoperable fragment analysis method and subsequent validation of the experimental flow stemmed from an unexpected supply</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chain disruption. </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proprietary Dye Set D (DS</w:t>
      </w:r>
      <w:r>
        <w:rPr>
          <w:rFonts w:hint="default" w:ascii="Times New Roman" w:hAnsi="Times New Roman" w:cs="Times New Roman"/>
          <w:sz w:val="24"/>
          <w:szCs w:val="24"/>
          <w:lang w:val="en-US"/>
        </w:rPr>
        <w:t>-</w:t>
      </w:r>
      <w:r>
        <w:rPr>
          <w:rFonts w:hint="default" w:ascii="Times New Roman" w:hAnsi="Times New Roman" w:cs="Times New Roman"/>
          <w:sz w:val="24"/>
          <w:szCs w:val="24"/>
        </w:rPr>
        <w:t>30) matrix standard, required to create a spectral matrix compatible with the ROX</w:t>
      </w:r>
      <w:r>
        <w:rPr>
          <w:rFonts w:hint="default" w:ascii="Times New Roman" w:hAnsi="Times New Roman" w:cs="Times New Roman"/>
          <w:sz w:val="24"/>
          <w:szCs w:val="24"/>
          <w:lang w:val="en-US"/>
        </w:rPr>
        <w:t>-</w:t>
      </w:r>
      <w:r>
        <w:rPr>
          <w:rFonts w:hint="default" w:ascii="Times New Roman" w:hAnsi="Times New Roman" w:cs="Times New Roman"/>
          <w:sz w:val="24"/>
          <w:szCs w:val="24"/>
        </w:rPr>
        <w:t>based sizing of MLPA amplified probe fragments on the ABI 3500xl Genetic Analyzer was unavailable jeopardizing our fetal chromosomal aneuploidy detection and characterization study. Aiming to catch up with project timelines, we developed and prospectively validated the workflow presented here, utilizing the forensic J6 (DS‑36) matrix standard for spectral calibration in conjunction with the ROX</w:t>
      </w:r>
      <w:r>
        <w:rPr>
          <w:rFonts w:hint="default" w:ascii="Times New Roman" w:hAnsi="Times New Roman" w:cs="Times New Roman"/>
          <w:sz w:val="24"/>
          <w:szCs w:val="24"/>
          <w:lang w:val="en-US"/>
        </w:rPr>
        <w:t>-</w:t>
      </w:r>
      <w:r>
        <w:rPr>
          <w:rFonts w:hint="default" w:ascii="Times New Roman" w:hAnsi="Times New Roman" w:cs="Times New Roman"/>
          <w:sz w:val="24"/>
          <w:szCs w:val="24"/>
        </w:rPr>
        <w:t>labeled size standard and experimentally derived channel re</w:t>
      </w:r>
      <w:r>
        <w:rPr>
          <w:rFonts w:hint="default" w:ascii="Times New Roman" w:hAnsi="Times New Roman" w:cs="Times New Roman"/>
          <w:sz w:val="24"/>
          <w:szCs w:val="24"/>
          <w:lang w:val="en-US"/>
        </w:rPr>
        <w:t>-</w:t>
      </w:r>
      <w:r>
        <w:rPr>
          <w:rFonts w:hint="default" w:ascii="Times New Roman" w:hAnsi="Times New Roman" w:cs="Times New Roman"/>
          <w:sz w:val="24"/>
          <w:szCs w:val="24"/>
        </w:rPr>
        <w:t>mapping on the ABI 3500xl.</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addition to outwitting the supply issue mentioned above, this substitution takes advantage of increased spectral durability associated with the J6 chemistry. The newly developed SID fluorophore </w:t>
      </w:r>
      <w:r>
        <w:rPr>
          <w:rFonts w:hint="default" w:ascii="Times New Roman" w:hAnsi="Times New Roman" w:cs="Times New Roman"/>
          <w:sz w:val="24"/>
          <w:szCs w:val="24"/>
          <w:lang w:val="en-US"/>
        </w:rPr>
        <w:t>imprinted</w:t>
      </w:r>
      <w:r>
        <w:rPr>
          <w:rFonts w:hint="default" w:ascii="Times New Roman" w:hAnsi="Times New Roman" w:cs="Times New Roman"/>
          <w:sz w:val="24"/>
          <w:szCs w:val="24"/>
        </w:rPr>
        <w:t xml:space="preserve"> in the Dye Set J6 matrix standard exhibits increased photo stability over the original chemistry utilized in Dye Set D fluorophores. This characteristic may translate to a temporally more stable spectral calibration that is less prone to variability from prolonged storage conditions or photo bleaching effects (Ludeman </w:t>
      </w:r>
      <w:r>
        <w:rPr>
          <w:rFonts w:hint="default" w:ascii="Times New Roman" w:hAnsi="Times New Roman" w:cs="Times New Roman"/>
          <w:i/>
          <w:iCs/>
          <w:sz w:val="24"/>
          <w:szCs w:val="24"/>
        </w:rPr>
        <w:t>et al</w:t>
      </w:r>
      <w:r>
        <w:rPr>
          <w:rFonts w:hint="default" w:ascii="Times New Roman" w:hAnsi="Times New Roman" w:cs="Times New Roman"/>
          <w:sz w:val="24"/>
          <w:szCs w:val="24"/>
        </w:rPr>
        <w:t>., 2018). Consequently, this experiment aimed to confirm the spectral accuracy and performance consistency of this setup in an experimental setting while enhancing overall analytical resilience.</w:t>
      </w:r>
    </w:p>
    <w:p>
      <w:pPr>
        <w:pStyle w:val="49"/>
        <w:numPr>
          <w:ilvl w:val="1"/>
          <w:numId w:val="1"/>
        </w:numPr>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Matrix Standard dye sets for MLPA fragment analysis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standard ROX</w:t>
      </w:r>
      <w:r>
        <w:rPr>
          <w:rFonts w:hint="default" w:ascii="Times New Roman" w:hAnsi="Times New Roman" w:cs="Times New Roman"/>
          <w:sz w:val="24"/>
          <w:szCs w:val="24"/>
          <w:lang w:val="en-US"/>
        </w:rPr>
        <w:t>-</w:t>
      </w:r>
      <w:r>
        <w:rPr>
          <w:rFonts w:hint="default" w:ascii="Times New Roman" w:hAnsi="Times New Roman" w:cs="Times New Roman"/>
          <w:sz w:val="24"/>
          <w:szCs w:val="24"/>
        </w:rPr>
        <w:t>based MLPA fragment analysis on ABI capillary electrophoresis platforms, the manufacturer</w:t>
      </w:r>
      <w:r>
        <w:rPr>
          <w:rFonts w:hint="default" w:ascii="Times New Roman" w:hAnsi="Times New Roman" w:cs="Times New Roman"/>
          <w:sz w:val="24"/>
          <w:szCs w:val="24"/>
          <w:lang w:val="en-US"/>
        </w:rPr>
        <w:t>-</w:t>
      </w:r>
      <w:r>
        <w:rPr>
          <w:rFonts w:hint="default" w:ascii="Times New Roman" w:hAnsi="Times New Roman" w:cs="Times New Roman"/>
          <w:sz w:val="24"/>
          <w:szCs w:val="24"/>
        </w:rPr>
        <w:t>recommended spectral calibration matrix standard is DS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30 (Dye Set D), which resolves four </w:t>
      </w:r>
      <w:r>
        <w:rPr>
          <w:rFonts w:hint="default" w:ascii="Times New Roman" w:hAnsi="Times New Roman" w:cs="Times New Roman"/>
          <w:sz w:val="24"/>
          <w:szCs w:val="24"/>
          <w:lang w:val="en-US"/>
        </w:rPr>
        <w:t xml:space="preserve">fluorescent </w:t>
      </w:r>
      <w:r>
        <w:rPr>
          <w:rFonts w:hint="default" w:ascii="Times New Roman" w:hAnsi="Times New Roman" w:cs="Times New Roman"/>
          <w:sz w:val="24"/>
          <w:szCs w:val="24"/>
        </w:rPr>
        <w:t>channels: 6</w:t>
      </w:r>
      <w:r>
        <w:rPr>
          <w:rFonts w:hint="default" w:ascii="Times New Roman" w:hAnsi="Times New Roman" w:cs="Times New Roman"/>
          <w:sz w:val="24"/>
          <w:szCs w:val="24"/>
          <w:lang w:val="en-US"/>
        </w:rPr>
        <w:t>-</w:t>
      </w:r>
      <w:r>
        <w:rPr>
          <w:rFonts w:hint="default" w:ascii="Times New Roman" w:hAnsi="Times New Roman" w:cs="Times New Roman"/>
          <w:sz w:val="24"/>
          <w:szCs w:val="24"/>
        </w:rPr>
        <w:t>FAM, HEX, NED, and ROX. The ROX channel provides the calibration reference required for ROX</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based fragment quantification and remains the standard configuration for MLPA fragment analysis on ABI instruments (Schouten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2002; Jankowski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2008).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By contrast, the DS</w:t>
      </w:r>
      <w:r>
        <w:rPr>
          <w:rFonts w:hint="default" w:ascii="Times New Roman" w:hAnsi="Times New Roman" w:cs="Times New Roman"/>
          <w:sz w:val="24"/>
          <w:szCs w:val="24"/>
          <w:lang w:val="en-US"/>
        </w:rPr>
        <w:t>-</w:t>
      </w:r>
      <w:r>
        <w:rPr>
          <w:rFonts w:hint="default" w:ascii="Times New Roman" w:hAnsi="Times New Roman" w:cs="Times New Roman"/>
          <w:sz w:val="24"/>
          <w:szCs w:val="24"/>
        </w:rPr>
        <w:t>36 (Dye Set J6) matrix standard is a six</w:t>
      </w:r>
      <w:r>
        <w:rPr>
          <w:rFonts w:hint="default" w:ascii="Times New Roman" w:hAnsi="Times New Roman" w:cs="Times New Roman"/>
          <w:sz w:val="24"/>
          <w:szCs w:val="24"/>
          <w:lang w:val="en-US"/>
        </w:rPr>
        <w:t>-</w:t>
      </w:r>
      <w:r>
        <w:rPr>
          <w:rFonts w:hint="default" w:ascii="Times New Roman" w:hAnsi="Times New Roman" w:cs="Times New Roman"/>
          <w:sz w:val="24"/>
          <w:szCs w:val="24"/>
        </w:rPr>
        <w:t>dye spectral calibrator developed primarily for forensic human</w:t>
      </w:r>
      <w:r>
        <w:rPr>
          <w:rFonts w:hint="default" w:ascii="Times New Roman" w:hAnsi="Times New Roman" w:cs="Times New Roman"/>
          <w:sz w:val="24"/>
          <w:szCs w:val="24"/>
          <w:lang w:val="en-US"/>
        </w:rPr>
        <w:t>-</w:t>
      </w:r>
      <w:r>
        <w:rPr>
          <w:rFonts w:hint="default" w:ascii="Times New Roman" w:hAnsi="Times New Roman" w:cs="Times New Roman"/>
          <w:sz w:val="24"/>
          <w:szCs w:val="24"/>
        </w:rPr>
        <w:t>identification</w:t>
      </w:r>
      <w:r>
        <w:rPr>
          <w:rFonts w:hint="default" w:ascii="Times New Roman" w:hAnsi="Times New Roman" w:cs="Times New Roman"/>
          <w:sz w:val="24"/>
          <w:szCs w:val="24"/>
          <w:lang w:val="en-US"/>
        </w:rPr>
        <w:t xml:space="preserve"> (HID)</w:t>
      </w:r>
      <w:r>
        <w:rPr>
          <w:rFonts w:hint="default" w:ascii="Times New Roman" w:hAnsi="Times New Roman" w:cs="Times New Roman"/>
          <w:sz w:val="24"/>
          <w:szCs w:val="24"/>
        </w:rPr>
        <w:t xml:space="preserve"> workflows. It calibrates six channels: 6</w:t>
      </w:r>
      <w:r>
        <w:rPr>
          <w:rFonts w:hint="default" w:ascii="Times New Roman" w:hAnsi="Times New Roman" w:cs="Times New Roman"/>
          <w:sz w:val="24"/>
          <w:szCs w:val="24"/>
          <w:lang w:val="en-US"/>
        </w:rPr>
        <w:t>-</w:t>
      </w:r>
      <w:r>
        <w:rPr>
          <w:rFonts w:hint="default" w:ascii="Times New Roman" w:hAnsi="Times New Roman" w:cs="Times New Roman"/>
          <w:sz w:val="24"/>
          <w:szCs w:val="24"/>
        </w:rPr>
        <w:t>FAM, VIC, NED, SID, TAZ, and LIZ, with the next</w:t>
      </w:r>
      <w:r>
        <w:rPr>
          <w:rFonts w:hint="default" w:ascii="Times New Roman" w:hAnsi="Times New Roman" w:cs="Times New Roman"/>
          <w:sz w:val="24"/>
          <w:szCs w:val="24"/>
          <w:lang w:val="en-US"/>
        </w:rPr>
        <w:t>-</w:t>
      </w:r>
      <w:r>
        <w:rPr>
          <w:rFonts w:hint="default" w:ascii="Times New Roman" w:hAnsi="Times New Roman" w:cs="Times New Roman"/>
          <w:sz w:val="24"/>
          <w:szCs w:val="24"/>
        </w:rPr>
        <w:t>generation SID and TAZ dyes possessing improved photo-stability intended to support robust, high</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throughput forensic casework (Martin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2014; Ludeman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2018).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Although DS</w:t>
      </w:r>
      <w:r>
        <w:rPr>
          <w:rFonts w:hint="default" w:ascii="Times New Roman" w:hAnsi="Times New Roman" w:cs="Times New Roman"/>
          <w:sz w:val="24"/>
          <w:szCs w:val="24"/>
          <w:lang w:val="en-US"/>
        </w:rPr>
        <w:t>-</w:t>
      </w:r>
      <w:r>
        <w:rPr>
          <w:rFonts w:hint="default" w:ascii="Times New Roman" w:hAnsi="Times New Roman" w:cs="Times New Roman"/>
          <w:sz w:val="24"/>
          <w:szCs w:val="24"/>
        </w:rPr>
        <w:t>36 is natively paired with LIZ</w:t>
      </w:r>
      <w:r>
        <w:rPr>
          <w:rFonts w:hint="default" w:ascii="Times New Roman" w:hAnsi="Times New Roman" w:cs="Times New Roman"/>
          <w:sz w:val="24"/>
          <w:szCs w:val="24"/>
          <w:lang w:val="en-US"/>
        </w:rPr>
        <w:t>-</w:t>
      </w:r>
      <w:r>
        <w:rPr>
          <w:rFonts w:hint="default" w:ascii="Times New Roman" w:hAnsi="Times New Roman" w:cs="Times New Roman"/>
          <w:sz w:val="24"/>
          <w:szCs w:val="24"/>
        </w:rPr>
        <w:t>labeled size standards for short tandem repeat (STR) panels and was not designed for ROX</w:t>
      </w:r>
      <w:r>
        <w:rPr>
          <w:rFonts w:hint="default" w:ascii="Times New Roman" w:hAnsi="Times New Roman" w:cs="Times New Roman"/>
          <w:sz w:val="24"/>
          <w:szCs w:val="24"/>
          <w:lang w:val="en-US"/>
        </w:rPr>
        <w:t>-</w:t>
      </w:r>
      <w:r>
        <w:rPr>
          <w:rFonts w:hint="default" w:ascii="Times New Roman" w:hAnsi="Times New Roman" w:cs="Times New Roman"/>
          <w:sz w:val="24"/>
          <w:szCs w:val="24"/>
        </w:rPr>
        <w:t>based fragment analysis, its availability and enhanced dye chemistry motivated an evaluation of its use as a repurposed spectral calibrator for ROX</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based MLPA fragment analysis workflows.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therefore examined the prospective integration of the forensic J6 (DS</w:t>
      </w:r>
      <w:r>
        <w:rPr>
          <w:rFonts w:hint="default" w:ascii="Times New Roman" w:hAnsi="Times New Roman" w:cs="Times New Roman"/>
          <w:sz w:val="24"/>
          <w:szCs w:val="24"/>
          <w:lang w:val="en-US"/>
        </w:rPr>
        <w:t>-</w:t>
      </w:r>
      <w:r>
        <w:rPr>
          <w:rFonts w:hint="default" w:ascii="Times New Roman" w:hAnsi="Times New Roman" w:cs="Times New Roman"/>
          <w:sz w:val="24"/>
          <w:szCs w:val="24"/>
        </w:rPr>
        <w:t>36) matrix standard into a diagnostic MLPA fragment analysis workflow that retains a ROX</w:t>
      </w:r>
      <w:r>
        <w:rPr>
          <w:rFonts w:hint="default" w:ascii="Times New Roman" w:hAnsi="Times New Roman" w:cs="Times New Roman"/>
          <w:sz w:val="24"/>
          <w:szCs w:val="24"/>
          <w:lang w:val="en-US"/>
        </w:rPr>
        <w:t>-</w:t>
      </w:r>
      <w:r>
        <w:rPr>
          <w:rFonts w:hint="default" w:ascii="Times New Roman" w:hAnsi="Times New Roman" w:cs="Times New Roman"/>
          <w:sz w:val="24"/>
          <w:szCs w:val="24"/>
        </w:rPr>
        <w:t>labeled MRC</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550 ROX size standard </w:t>
      </w:r>
      <w:r>
        <w:rPr>
          <w:rFonts w:hint="default" w:ascii="Times New Roman" w:hAnsi="Times New Roman" w:cs="Times New Roman"/>
          <w:sz w:val="24"/>
          <w:szCs w:val="24"/>
          <w:lang w:val="en-US"/>
        </w:rPr>
        <w:t xml:space="preserve">from MRC-Holland, </w:t>
      </w:r>
      <w:r>
        <w:rPr>
          <w:rFonts w:hint="default" w:ascii="Times New Roman" w:hAnsi="Times New Roman" w:cs="Times New Roman"/>
          <w:sz w:val="24"/>
          <w:szCs w:val="24"/>
        </w:rPr>
        <w:t>Amsterdam, the Netherlands assessing whether experimentally derived channel re</w:t>
      </w:r>
      <w:r>
        <w:rPr>
          <w:rFonts w:hint="default" w:ascii="Times New Roman" w:hAnsi="Times New Roman" w:cs="Times New Roman"/>
          <w:sz w:val="24"/>
          <w:szCs w:val="24"/>
          <w:lang w:val="en-US"/>
        </w:rPr>
        <w:t>-</w:t>
      </w:r>
      <w:r>
        <w:rPr>
          <w:rFonts w:hint="default" w:ascii="Times New Roman" w:hAnsi="Times New Roman" w:cs="Times New Roman"/>
          <w:sz w:val="24"/>
          <w:szCs w:val="24"/>
        </w:rPr>
        <w:t>mapping can provide accurate spectral deconvolution, reliable peak identification, and precise fragment sizing for diagnostic MLPA applications.</w:t>
      </w:r>
    </w:p>
    <w:p>
      <w:pPr>
        <w:pStyle w:val="49"/>
        <w:numPr>
          <w:ilvl w:val="1"/>
          <w:numId w:val="1"/>
        </w:numPr>
        <w:jc w:val="both"/>
        <w:rPr>
          <w:rFonts w:hint="default" w:ascii="Times New Roman" w:hAnsi="Times New Roman" w:cs="Times New Roman"/>
          <w:b/>
          <w:bCs/>
          <w:sz w:val="24"/>
          <w:szCs w:val="24"/>
        </w:rPr>
      </w:pPr>
      <w:r>
        <w:rPr>
          <w:rFonts w:hint="default" w:ascii="Times New Roman" w:hAnsi="Times New Roman" w:cs="Times New Roman"/>
          <w:b/>
          <w:bCs/>
          <w:sz w:val="24"/>
          <w:szCs w:val="24"/>
        </w:rPr>
        <w:t>Rationale: Cost Reduction and Analytical Resilience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repurposing of the J6 (DS-36) matrix standard for fragment analysis of MLPA products offers two distinct operational advantages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First, it facilitates cost reduction because clinical and forensic laboratories that use the ABI 3500xl for HID-STR applications already maintain DS-36 (J6) spectral calibrations as part of the forensic human identification platforms. Validating these same spectral-calibration protocols for MLPA fragment analysis eliminates the need to procure and install separate Dye Set D matrix standards, thereby reducing consumable expenditures and minimizing instrument downtime. Second, it enhances analytical resilience because the next-generation SID fluorophore in Dye Set J6 offers superior photo-stability compared with the legacy chemistry used in Dye Set D. This durability ensures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temporally stable spectral calibrations that are less susceptible to degradation under variable storage conditions or photo-bleaching (Ludeman </w:t>
      </w:r>
      <w:r>
        <w:rPr>
          <w:rFonts w:hint="default" w:ascii="Times New Roman" w:hAnsi="Times New Roman" w:cs="Times New Roman"/>
          <w:i/>
          <w:iCs/>
          <w:sz w:val="24"/>
          <w:szCs w:val="24"/>
        </w:rPr>
        <w:t>et al</w:t>
      </w:r>
      <w:r>
        <w:rPr>
          <w:rFonts w:hint="default" w:ascii="Times New Roman" w:hAnsi="Times New Roman" w:cs="Times New Roman"/>
          <w:sz w:val="24"/>
          <w:szCs w:val="24"/>
        </w:rPr>
        <w:t>., 2018)</w:t>
      </w:r>
    </w:p>
    <w:p>
      <w:pPr>
        <w:pStyle w:val="49"/>
        <w:numPr>
          <w:ilvl w:val="1"/>
          <w:numId w:val="1"/>
        </w:numPr>
        <w:rPr>
          <w:rFonts w:hint="default" w:ascii="Times New Roman" w:hAnsi="Times New Roman" w:cs="Times New Roman"/>
          <w:b/>
          <w:bCs/>
          <w:sz w:val="24"/>
          <w:szCs w:val="24"/>
        </w:rPr>
      </w:pPr>
      <w:r>
        <w:rPr>
          <w:rFonts w:hint="default" w:ascii="Times New Roman" w:hAnsi="Times New Roman" w:cs="Times New Roman"/>
          <w:b/>
          <w:bCs/>
          <w:sz w:val="24"/>
          <w:szCs w:val="24"/>
          <w:lang w:val="en-US"/>
        </w:rPr>
        <w:t>Re purposing and Technical Adaptation</w:t>
      </w:r>
      <w:r>
        <w:rPr>
          <w:rFonts w:hint="default" w:ascii="Times New Roman" w:hAnsi="Times New Roman" w:cs="Times New Roman"/>
          <w:b/>
          <w:bCs/>
          <w:sz w:val="24"/>
          <w:szCs w:val="24"/>
        </w:rPr>
        <w:t>: First Application of DS</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36 (J6) for ROX</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Based MLPA</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rPr>
        <w:t>Reagent Interoperability Framework</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presents the first proof</w:t>
      </w:r>
      <w:r>
        <w:rPr>
          <w:rFonts w:hint="default" w:ascii="Times New Roman" w:hAnsi="Times New Roman" w:cs="Times New Roman"/>
          <w:sz w:val="24"/>
          <w:szCs w:val="24"/>
          <w:lang w:val="en-US"/>
        </w:rPr>
        <w:t>-</w:t>
      </w:r>
      <w:r>
        <w:rPr>
          <w:rFonts w:hint="default" w:ascii="Times New Roman" w:hAnsi="Times New Roman" w:cs="Times New Roman"/>
          <w:sz w:val="24"/>
          <w:szCs w:val="24"/>
        </w:rPr>
        <w:t>of</w:t>
      </w:r>
      <w:r>
        <w:rPr>
          <w:rFonts w:hint="default" w:ascii="Times New Roman" w:hAnsi="Times New Roman" w:cs="Times New Roman"/>
          <w:sz w:val="24"/>
          <w:szCs w:val="24"/>
          <w:lang w:val="en-US"/>
        </w:rPr>
        <w:t>-</w:t>
      </w:r>
      <w:r>
        <w:rPr>
          <w:rFonts w:hint="default" w:ascii="Times New Roman" w:hAnsi="Times New Roman" w:cs="Times New Roman"/>
          <w:sz w:val="24"/>
          <w:szCs w:val="24"/>
        </w:rPr>
        <w:t>concept validation of DS</w:t>
      </w:r>
      <w:r>
        <w:rPr>
          <w:rFonts w:hint="default" w:ascii="Times New Roman" w:hAnsi="Times New Roman" w:cs="Times New Roman"/>
          <w:sz w:val="24"/>
          <w:szCs w:val="24"/>
          <w:lang w:val="en-US"/>
        </w:rPr>
        <w:t>-</w:t>
      </w:r>
      <w:r>
        <w:rPr>
          <w:rFonts w:hint="default" w:ascii="Times New Roman" w:hAnsi="Times New Roman" w:cs="Times New Roman"/>
          <w:sz w:val="24"/>
          <w:szCs w:val="24"/>
        </w:rPr>
        <w:t>36 (Dye Set J6) as a spectral</w:t>
      </w:r>
      <w:r>
        <w:rPr>
          <w:rFonts w:hint="default" w:ascii="Times New Roman" w:hAnsi="Times New Roman" w:cs="Times New Roman"/>
          <w:sz w:val="24"/>
          <w:szCs w:val="24"/>
          <w:lang w:val="en-US"/>
        </w:rPr>
        <w:t>-</w:t>
      </w:r>
      <w:r>
        <w:rPr>
          <w:rFonts w:hint="default" w:ascii="Times New Roman" w:hAnsi="Times New Roman" w:cs="Times New Roman"/>
          <w:sz w:val="24"/>
          <w:szCs w:val="24"/>
        </w:rPr>
        <w:t>calibration matrix standard for 6</w:t>
      </w:r>
      <w:r>
        <w:rPr>
          <w:rFonts w:hint="default" w:ascii="Times New Roman" w:hAnsi="Times New Roman" w:cs="Times New Roman"/>
          <w:sz w:val="24"/>
          <w:szCs w:val="24"/>
          <w:lang w:val="en-US"/>
        </w:rPr>
        <w:t>-</w:t>
      </w:r>
      <w:r>
        <w:rPr>
          <w:rFonts w:hint="default" w:ascii="Times New Roman" w:hAnsi="Times New Roman" w:cs="Times New Roman"/>
          <w:sz w:val="24"/>
          <w:szCs w:val="24"/>
        </w:rPr>
        <w:t>FAM</w:t>
      </w:r>
      <w:r>
        <w:rPr>
          <w:rFonts w:hint="default" w:ascii="Times New Roman" w:hAnsi="Times New Roman" w:cs="Times New Roman"/>
          <w:sz w:val="24"/>
          <w:szCs w:val="24"/>
          <w:lang w:val="en-US"/>
        </w:rPr>
        <w:t>-labeled</w:t>
      </w:r>
      <w:r>
        <w:rPr>
          <w:rFonts w:hint="default" w:ascii="Times New Roman" w:hAnsi="Times New Roman" w:cs="Times New Roman"/>
          <w:sz w:val="24"/>
          <w:szCs w:val="24"/>
        </w:rPr>
        <w:t xml:space="preserve"> MLPA probe fragments co</w:t>
      </w:r>
      <w:r>
        <w:rPr>
          <w:rFonts w:hint="default" w:ascii="Times New Roman" w:hAnsi="Times New Roman" w:cs="Times New Roman"/>
          <w:sz w:val="24"/>
          <w:szCs w:val="24"/>
          <w:lang w:val="en-US"/>
        </w:rPr>
        <w:t>-</w:t>
      </w:r>
      <w:r>
        <w:rPr>
          <w:rFonts w:hint="default" w:ascii="Times New Roman" w:hAnsi="Times New Roman" w:cs="Times New Roman"/>
          <w:sz w:val="24"/>
          <w:szCs w:val="24"/>
        </w:rPr>
        <w:t>injected with the ROX</w:t>
      </w:r>
      <w:r>
        <w:rPr>
          <w:rFonts w:hint="default" w:ascii="Times New Roman" w:hAnsi="Times New Roman" w:cs="Times New Roman"/>
          <w:sz w:val="24"/>
          <w:szCs w:val="24"/>
          <w:lang w:val="en-US"/>
        </w:rPr>
        <w:t>-labeled</w:t>
      </w:r>
      <w:r>
        <w:rPr>
          <w:rFonts w:hint="default" w:ascii="Times New Roman" w:hAnsi="Times New Roman" w:cs="Times New Roman"/>
          <w:sz w:val="24"/>
          <w:szCs w:val="24"/>
        </w:rPr>
        <w:t xml:space="preserve"> size standard on the ABI 3500xl genetic analyzer. The work extends principles of fluorescent</w:t>
      </w:r>
      <w:r>
        <w:rPr>
          <w:rFonts w:hint="default" w:ascii="Times New Roman" w:hAnsi="Times New Roman" w:cs="Times New Roman"/>
          <w:sz w:val="24"/>
          <w:szCs w:val="24"/>
          <w:lang w:val="en-US"/>
        </w:rPr>
        <w:t>-</w:t>
      </w:r>
      <w:r>
        <w:rPr>
          <w:rFonts w:hint="default" w:ascii="Times New Roman" w:hAnsi="Times New Roman" w:cs="Times New Roman"/>
          <w:sz w:val="24"/>
          <w:szCs w:val="24"/>
        </w:rPr>
        <w:t>dye compatibility, typically applied in forensic capillary electrophoresis, into MLPA fragment analysis. The DS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36 dye set has been validated for spectral calibration on ABI 3500-series instruments in forensic STR workflows, ensuring accurate multicolor separation (Green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2021).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 hypothesized that the DS</w:t>
      </w:r>
      <w:r>
        <w:rPr>
          <w:rFonts w:hint="default" w:ascii="Times New Roman" w:hAnsi="Times New Roman" w:cs="Times New Roman"/>
          <w:sz w:val="24"/>
          <w:szCs w:val="24"/>
          <w:lang w:val="en-US"/>
        </w:rPr>
        <w:t>-</w:t>
      </w:r>
      <w:r>
        <w:rPr>
          <w:rFonts w:hint="default" w:ascii="Times New Roman" w:hAnsi="Times New Roman" w:cs="Times New Roman"/>
          <w:sz w:val="24"/>
          <w:szCs w:val="24"/>
        </w:rPr>
        <w:t>36</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matrix standard could be re</w:t>
      </w:r>
      <w:r>
        <w:rPr>
          <w:rFonts w:hint="default" w:ascii="Times New Roman" w:hAnsi="Times New Roman" w:cs="Times New Roman"/>
          <w:sz w:val="24"/>
          <w:szCs w:val="24"/>
          <w:lang w:val="en-US"/>
        </w:rPr>
        <w:t>-</w:t>
      </w:r>
      <w:r>
        <w:rPr>
          <w:rFonts w:hint="default" w:ascii="Times New Roman" w:hAnsi="Times New Roman" w:cs="Times New Roman"/>
          <w:sz w:val="24"/>
          <w:szCs w:val="24"/>
        </w:rPr>
        <w:t>mapped for ROX</w:t>
      </w:r>
      <w:r>
        <w:rPr>
          <w:rFonts w:hint="default" w:ascii="Times New Roman" w:hAnsi="Times New Roman" w:cs="Times New Roman"/>
          <w:sz w:val="24"/>
          <w:szCs w:val="24"/>
          <w:lang w:val="en-US"/>
        </w:rPr>
        <w:t>-</w:t>
      </w:r>
      <w:r>
        <w:rPr>
          <w:rFonts w:hint="default" w:ascii="Times New Roman" w:hAnsi="Times New Roman" w:cs="Times New Roman"/>
          <w:sz w:val="24"/>
          <w:szCs w:val="24"/>
        </w:rPr>
        <w:t>based MLPA fragment analysis using a ROX</w:t>
      </w:r>
      <w:r>
        <w:rPr>
          <w:rFonts w:hint="default" w:ascii="Times New Roman" w:hAnsi="Times New Roman" w:cs="Times New Roman"/>
          <w:sz w:val="24"/>
          <w:szCs w:val="24"/>
          <w:lang w:val="en-US"/>
        </w:rPr>
        <w:t>-labeled</w:t>
      </w:r>
      <w:r>
        <w:rPr>
          <w:rFonts w:hint="default" w:ascii="Times New Roman" w:hAnsi="Times New Roman" w:cs="Times New Roman"/>
          <w:sz w:val="24"/>
          <w:szCs w:val="24"/>
        </w:rPr>
        <w:t xml:space="preserve"> size standard on the ABI 3500xl. By applying the matrix standard and adapting it for ROX</w:t>
      </w:r>
      <w:r>
        <w:rPr>
          <w:rFonts w:hint="default" w:ascii="Times New Roman" w:hAnsi="Times New Roman" w:cs="Times New Roman"/>
          <w:sz w:val="24"/>
          <w:szCs w:val="24"/>
          <w:lang w:val="en-US"/>
        </w:rPr>
        <w:t>-</w:t>
      </w:r>
      <w:r>
        <w:rPr>
          <w:rFonts w:hint="default" w:ascii="Times New Roman" w:hAnsi="Times New Roman" w:cs="Times New Roman"/>
          <w:sz w:val="24"/>
          <w:szCs w:val="24"/>
        </w:rPr>
        <w:t>based sizing on the ABI 3500xl, the study demonstrates how non</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proprietary reagents can be systematically validated for diagnostic and research use.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Re purposing</w:t>
      </w:r>
      <w:r>
        <w:rPr>
          <w:rFonts w:hint="default" w:ascii="Times New Roman" w:hAnsi="Times New Roman" w:cs="Times New Roman"/>
          <w:sz w:val="24"/>
          <w:szCs w:val="24"/>
        </w:rPr>
        <w:t xml:space="preserve"> a six</w:t>
      </w:r>
      <w:r>
        <w:rPr>
          <w:rFonts w:hint="default" w:ascii="Times New Roman" w:hAnsi="Times New Roman" w:cs="Times New Roman"/>
          <w:sz w:val="24"/>
          <w:szCs w:val="24"/>
          <w:lang w:val="en-US"/>
        </w:rPr>
        <w:t>-</w:t>
      </w:r>
      <w:r>
        <w:rPr>
          <w:rFonts w:hint="default" w:ascii="Times New Roman" w:hAnsi="Times New Roman" w:cs="Times New Roman"/>
          <w:sz w:val="24"/>
          <w:szCs w:val="24"/>
        </w:rPr>
        <w:t>dye forensic STR matrix for a two</w:t>
      </w:r>
      <w:r>
        <w:rPr>
          <w:rFonts w:hint="default" w:ascii="Times New Roman" w:hAnsi="Times New Roman" w:cs="Times New Roman"/>
          <w:sz w:val="24"/>
          <w:szCs w:val="24"/>
          <w:lang w:val="en-US"/>
        </w:rPr>
        <w:t>-</w:t>
      </w:r>
      <w:r>
        <w:rPr>
          <w:rFonts w:hint="default" w:ascii="Times New Roman" w:hAnsi="Times New Roman" w:cs="Times New Roman"/>
          <w:sz w:val="24"/>
          <w:szCs w:val="24"/>
        </w:rPr>
        <w:t>channel MLPA application represents a novel cross</w:t>
      </w:r>
      <w:r>
        <w:rPr>
          <w:rFonts w:hint="default" w:ascii="Times New Roman" w:hAnsi="Times New Roman" w:cs="Times New Roman"/>
          <w:sz w:val="24"/>
          <w:szCs w:val="24"/>
          <w:lang w:val="en-US"/>
        </w:rPr>
        <w:t>-</w:t>
      </w:r>
      <w:r>
        <w:rPr>
          <w:rFonts w:hint="default" w:ascii="Times New Roman" w:hAnsi="Times New Roman" w:cs="Times New Roman"/>
          <w:sz w:val="24"/>
          <w:szCs w:val="24"/>
        </w:rPr>
        <w:t>domain adaptation of established capillary electrophoresis</w:t>
      </w:r>
      <w:r>
        <w:rPr>
          <w:rFonts w:hint="default" w:ascii="Times New Roman" w:hAnsi="Times New Roman" w:cs="Times New Roman"/>
          <w:sz w:val="24"/>
          <w:szCs w:val="24"/>
          <w:lang w:val="en-US"/>
        </w:rPr>
        <w:t xml:space="preserve"> (CE)</w:t>
      </w:r>
      <w:r>
        <w:rPr>
          <w:rFonts w:hint="default" w:ascii="Times New Roman" w:hAnsi="Times New Roman" w:cs="Times New Roman"/>
          <w:sz w:val="24"/>
          <w:szCs w:val="24"/>
        </w:rPr>
        <w:t xml:space="preserve"> spectral</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calibration protocols. Cloete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(2017) established a precedent for </w:t>
      </w:r>
      <w:r>
        <w:rPr>
          <w:rFonts w:hint="default" w:ascii="Times New Roman" w:hAnsi="Times New Roman" w:cs="Times New Roman"/>
          <w:sz w:val="24"/>
          <w:szCs w:val="24"/>
          <w:lang w:val="en-US"/>
        </w:rPr>
        <w:t>re purposing</w:t>
      </w:r>
      <w:r>
        <w:rPr>
          <w:rFonts w:hint="default" w:ascii="Times New Roman" w:hAnsi="Times New Roman" w:cs="Times New Roman"/>
          <w:sz w:val="24"/>
          <w:szCs w:val="24"/>
        </w:rPr>
        <w:t xml:space="preserve"> CE matrix standards beyond their original intent by demonstrating a </w:t>
      </w:r>
      <w:r>
        <w:rPr>
          <w:rFonts w:hint="default" w:ascii="Times New Roman" w:hAnsi="Times New Roman" w:cs="Times New Roman"/>
          <w:sz w:val="24"/>
          <w:szCs w:val="24"/>
          <w:lang w:val="en-US"/>
        </w:rPr>
        <w:t xml:space="preserve">deductible </w:t>
      </w:r>
      <w:r>
        <w:rPr>
          <w:rFonts w:hint="default" w:ascii="Times New Roman" w:hAnsi="Times New Roman" w:cs="Times New Roman"/>
          <w:sz w:val="24"/>
          <w:szCs w:val="24"/>
        </w:rPr>
        <w:t xml:space="preserve">procedure for custom matrix development. Their work confirmed that appropriate spectral separation is achievable outside manufacturer defined dye set boundaries, providing a theoretical foundation for the adaptation </w:t>
      </w:r>
      <w:r>
        <w:rPr>
          <w:rFonts w:hint="default" w:ascii="Times New Roman" w:hAnsi="Times New Roman" w:cs="Times New Roman"/>
          <w:sz w:val="24"/>
          <w:szCs w:val="24"/>
          <w:lang w:val="en-US"/>
        </w:rPr>
        <w:t>describe</w:t>
      </w:r>
      <w:r>
        <w:rPr>
          <w:rFonts w:hint="default" w:ascii="Times New Roman" w:hAnsi="Times New Roman" w:cs="Times New Roman"/>
          <w:sz w:val="24"/>
          <w:szCs w:val="24"/>
        </w:rPr>
        <w:t>d here. Such strategies facilitate the use of more widely available consumables through inter</w:t>
      </w:r>
      <w:r>
        <w:rPr>
          <w:rFonts w:hint="default" w:ascii="Times New Roman" w:hAnsi="Times New Roman" w:cs="Times New Roman"/>
          <w:sz w:val="24"/>
          <w:szCs w:val="24"/>
          <w:lang w:val="en-US"/>
        </w:rPr>
        <w:t>-</w:t>
      </w:r>
      <w:r>
        <w:rPr>
          <w:rFonts w:hint="default" w:ascii="Times New Roman" w:hAnsi="Times New Roman" w:cs="Times New Roman"/>
          <w:sz w:val="24"/>
          <w:szCs w:val="24"/>
        </w:rPr>
        <w:t>laboratory collaborations or third</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party suppliers, yielding potential cost savings and preventing test delays when proprietary standards are unavailable. This approach aligns with standard CLIA guidelines for validation of modified assays, as well as ISO 15189 requirements governing the in-house manufacturing and validation of laboratory developed tests (Vanstapel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2023).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principal conception of this study is an empirical spectral</w:t>
      </w:r>
      <w:r>
        <w:rPr>
          <w:rFonts w:hint="default" w:ascii="Times New Roman" w:hAnsi="Times New Roman" w:cs="Times New Roman"/>
          <w:sz w:val="24"/>
          <w:szCs w:val="24"/>
          <w:lang w:val="en-US"/>
        </w:rPr>
        <w:t>-</w:t>
      </w:r>
      <w:r>
        <w:rPr>
          <w:rFonts w:hint="default" w:ascii="Times New Roman" w:hAnsi="Times New Roman" w:cs="Times New Roman"/>
          <w:sz w:val="24"/>
          <w:szCs w:val="24"/>
        </w:rPr>
        <w:t>calibration and channel re</w:t>
      </w:r>
      <w:r>
        <w:rPr>
          <w:rFonts w:hint="default" w:ascii="Times New Roman" w:hAnsi="Times New Roman" w:cs="Times New Roman"/>
          <w:sz w:val="24"/>
          <w:szCs w:val="24"/>
          <w:lang w:val="en-US"/>
        </w:rPr>
        <w:t>-</w:t>
      </w:r>
      <w:r>
        <w:rPr>
          <w:rFonts w:hint="default" w:ascii="Times New Roman" w:hAnsi="Times New Roman" w:cs="Times New Roman"/>
          <w:sz w:val="24"/>
          <w:szCs w:val="24"/>
        </w:rPr>
        <w:t>mapping strategy that leverages the close spectral overlap between the ROX dye at approximately 607 nm emission and the SID channel of dye set DS</w:t>
      </w:r>
      <w:r>
        <w:rPr>
          <w:rFonts w:hint="default" w:ascii="Times New Roman" w:hAnsi="Times New Roman" w:cs="Times New Roman"/>
          <w:sz w:val="24"/>
          <w:szCs w:val="24"/>
          <w:lang w:val="en-US"/>
        </w:rPr>
        <w:t>-</w:t>
      </w:r>
      <w:r>
        <w:rPr>
          <w:rFonts w:hint="default" w:ascii="Times New Roman" w:hAnsi="Times New Roman" w:cs="Times New Roman"/>
          <w:sz w:val="24"/>
          <w:szCs w:val="24"/>
        </w:rPr>
        <w:t>36 at approximately 603 nm to adapt</w:t>
      </w:r>
      <w:r>
        <w:rPr>
          <w:rFonts w:hint="default" w:ascii="Times New Roman" w:hAnsi="Times New Roman" w:cs="Times New Roman"/>
          <w:sz w:val="24"/>
          <w:szCs w:val="24"/>
          <w:lang w:val="en-US"/>
        </w:rPr>
        <w:t xml:space="preserve"> the</w:t>
      </w:r>
      <w:r>
        <w:rPr>
          <w:rFonts w:hint="default" w:ascii="Times New Roman" w:hAnsi="Times New Roman" w:cs="Times New Roman"/>
          <w:sz w:val="24"/>
          <w:szCs w:val="24"/>
        </w:rPr>
        <w:t xml:space="preserve"> DS</w:t>
      </w:r>
      <w:r>
        <w:rPr>
          <w:rFonts w:hint="default" w:ascii="Times New Roman" w:hAnsi="Times New Roman" w:cs="Times New Roman"/>
          <w:sz w:val="24"/>
          <w:szCs w:val="24"/>
          <w:lang w:val="en-US"/>
        </w:rPr>
        <w:t>-</w:t>
      </w:r>
      <w:r>
        <w:rPr>
          <w:rFonts w:hint="default" w:ascii="Times New Roman" w:hAnsi="Times New Roman" w:cs="Times New Roman"/>
          <w:sz w:val="24"/>
          <w:szCs w:val="24"/>
        </w:rPr>
        <w:t>36</w:t>
      </w:r>
      <w:r>
        <w:rPr>
          <w:rFonts w:hint="default" w:ascii="Times New Roman" w:hAnsi="Times New Roman" w:cs="Times New Roman"/>
          <w:sz w:val="24"/>
          <w:szCs w:val="24"/>
          <w:lang w:val="en-US"/>
        </w:rPr>
        <w:t xml:space="preserve"> spectral matrix calibration standard</w:t>
      </w:r>
      <w:r>
        <w:rPr>
          <w:rFonts w:hint="default" w:ascii="Times New Roman" w:hAnsi="Times New Roman" w:cs="Times New Roman"/>
          <w:sz w:val="24"/>
          <w:szCs w:val="24"/>
        </w:rPr>
        <w:t xml:space="preserve"> for ROX</w:t>
      </w:r>
      <w:r>
        <w:rPr>
          <w:rFonts w:hint="default" w:ascii="Times New Roman" w:hAnsi="Times New Roman" w:cs="Times New Roman"/>
          <w:sz w:val="24"/>
          <w:szCs w:val="24"/>
          <w:lang w:val="en-US"/>
        </w:rPr>
        <w:t>-</w:t>
      </w:r>
      <w:r>
        <w:rPr>
          <w:rFonts w:hint="default" w:ascii="Times New Roman" w:hAnsi="Times New Roman" w:cs="Times New Roman"/>
          <w:sz w:val="24"/>
          <w:szCs w:val="24"/>
        </w:rPr>
        <w:t>based MLPA fragment analysis on the ABI 3500xl</w:t>
      </w:r>
      <w:r>
        <w:rPr>
          <w:rFonts w:hint="default" w:ascii="Times New Roman" w:hAnsi="Times New Roman" w:cs="Times New Roman"/>
          <w:sz w:val="24"/>
          <w:szCs w:val="24"/>
          <w:lang w:val="en-US"/>
        </w:rPr>
        <w:t xml:space="preserve"> genetic analyzer</w:t>
      </w:r>
      <w:r>
        <w:rPr>
          <w:rFonts w:hint="default" w:ascii="Times New Roman" w:hAnsi="Times New Roman" w:cs="Times New Roman"/>
          <w:sz w:val="24"/>
          <w:szCs w:val="24"/>
        </w:rPr>
        <w:t>. We ran the DS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36 matrix standard </w:t>
      </w:r>
      <w:r>
        <w:rPr>
          <w:rFonts w:hint="default" w:ascii="Times New Roman" w:hAnsi="Times New Roman" w:cs="Times New Roman"/>
          <w:sz w:val="24"/>
          <w:szCs w:val="24"/>
          <w:lang w:val="en-US"/>
        </w:rPr>
        <w:t xml:space="preserve">on the ABI 3500xl analyzer </w:t>
      </w:r>
      <w:r>
        <w:rPr>
          <w:rFonts w:hint="default" w:ascii="Times New Roman" w:hAnsi="Times New Roman" w:cs="Times New Roman"/>
          <w:sz w:val="24"/>
          <w:szCs w:val="24"/>
        </w:rPr>
        <w:t xml:space="preserve">under MLPA conditions to generate a custom </w:t>
      </w:r>
      <w:r>
        <w:rPr>
          <w:rFonts w:hint="default" w:ascii="Times New Roman" w:hAnsi="Times New Roman" w:cs="Times New Roman"/>
          <w:sz w:val="24"/>
          <w:szCs w:val="24"/>
          <w:lang w:val="en-US"/>
        </w:rPr>
        <w:t>multi-component</w:t>
      </w:r>
      <w:r>
        <w:rPr>
          <w:rFonts w:hint="default" w:ascii="Times New Roman" w:hAnsi="Times New Roman" w:cs="Times New Roman"/>
          <w:sz w:val="24"/>
          <w:szCs w:val="24"/>
        </w:rPr>
        <w:t xml:space="preserve"> matrix that routes the ROX siz</w:t>
      </w:r>
      <w:r>
        <w:rPr>
          <w:rFonts w:hint="default" w:ascii="Times New Roman" w:hAnsi="Times New Roman" w:cs="Times New Roman"/>
          <w:sz w:val="24"/>
          <w:szCs w:val="24"/>
          <w:lang w:val="en-US"/>
        </w:rPr>
        <w:t xml:space="preserve">e </w:t>
      </w:r>
      <w:r>
        <w:rPr>
          <w:rFonts w:hint="default" w:ascii="Times New Roman" w:hAnsi="Times New Roman" w:cs="Times New Roman"/>
          <w:sz w:val="24"/>
          <w:szCs w:val="24"/>
        </w:rPr>
        <w:t>standard signal into the SID channel while deconvoluting 6</w:t>
      </w:r>
      <w:r>
        <w:rPr>
          <w:rFonts w:hint="default" w:ascii="Times New Roman" w:hAnsi="Times New Roman" w:cs="Times New Roman"/>
          <w:sz w:val="24"/>
          <w:szCs w:val="24"/>
          <w:lang w:val="en-US"/>
        </w:rPr>
        <w:t>-</w:t>
      </w:r>
      <w:r>
        <w:rPr>
          <w:rFonts w:hint="default" w:ascii="Times New Roman" w:hAnsi="Times New Roman" w:cs="Times New Roman"/>
          <w:sz w:val="24"/>
          <w:szCs w:val="24"/>
        </w:rPr>
        <w:t>FAM probe signals in the blue channel</w:t>
      </w:r>
      <w:r>
        <w:rPr>
          <w:rFonts w:hint="default" w:ascii="Times New Roman" w:hAnsi="Times New Roman" w:cs="Times New Roman"/>
          <w:sz w:val="24"/>
          <w:szCs w:val="24"/>
          <w:lang w:val="en-US"/>
        </w:rPr>
        <w:t xml:space="preserve"> of the generated spectral matrix</w:t>
      </w:r>
      <w:r>
        <w:rPr>
          <w:rFonts w:hint="default" w:ascii="Times New Roman" w:hAnsi="Times New Roman" w:cs="Times New Roman"/>
          <w:sz w:val="24"/>
          <w:szCs w:val="24"/>
        </w:rPr>
        <w:t>. The unused channels VIC, NED, TAZ, and LIZ were masked to eliminate potential crosstalk from absent probe signals, ensuring accurate signal separation and fragment sizing. The approach combines technical performance metrics including spectral calibration, sizing precision, and reproducibility with clinical considerations such as diagnostic accuracy, workflow integration, and regulatory compliance.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Beyond technical feasibility, the framework addresses practical issues important to research and diagnostics. Using DS</w:t>
      </w:r>
      <w:r>
        <w:rPr>
          <w:rFonts w:hint="default" w:ascii="Times New Roman" w:hAnsi="Times New Roman" w:cs="Times New Roman"/>
          <w:sz w:val="24"/>
          <w:szCs w:val="24"/>
          <w:lang w:val="en-US"/>
        </w:rPr>
        <w:t>-</w:t>
      </w:r>
      <w:r>
        <w:rPr>
          <w:rFonts w:hint="default" w:ascii="Times New Roman" w:hAnsi="Times New Roman" w:cs="Times New Roman"/>
          <w:sz w:val="24"/>
          <w:szCs w:val="24"/>
        </w:rPr>
        <w:t>36 as a substitute for the MLPA</w:t>
      </w:r>
      <w:r>
        <w:rPr>
          <w:rFonts w:hint="default" w:ascii="Times New Roman" w:hAnsi="Times New Roman" w:cs="Times New Roman"/>
          <w:sz w:val="24"/>
          <w:szCs w:val="24"/>
          <w:lang w:val="en-US"/>
        </w:rPr>
        <w:t>-</w:t>
      </w:r>
      <w:r>
        <w:rPr>
          <w:rFonts w:hint="default" w:ascii="Times New Roman" w:hAnsi="Times New Roman" w:cs="Times New Roman"/>
          <w:sz w:val="24"/>
          <w:szCs w:val="24"/>
        </w:rPr>
        <w:t>recommended but unavailable DS</w:t>
      </w:r>
      <w:r>
        <w:rPr>
          <w:rFonts w:hint="default" w:ascii="Times New Roman" w:hAnsi="Times New Roman" w:cs="Times New Roman"/>
          <w:sz w:val="24"/>
          <w:szCs w:val="24"/>
          <w:lang w:val="en-US"/>
        </w:rPr>
        <w:t>-</w:t>
      </w:r>
      <w:r>
        <w:rPr>
          <w:rFonts w:hint="default" w:ascii="Times New Roman" w:hAnsi="Times New Roman" w:cs="Times New Roman"/>
          <w:sz w:val="24"/>
          <w:szCs w:val="24"/>
        </w:rPr>
        <w:t>30 matrix standard demonstrates a model for resource optimization. This interoperability enables laboratories to mitigate high consumable costs and bypass procurement</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related test delays, enhancing system reliability and reducing supply chain risk.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By demonstrating dye set compatibility across domains, the method enables adaptable workflows that respond to changing diagnostic and research needs while keeping costs low and access high. Such operational flexibility proves particularly valuable in specified diagnostic workflows where timely testing is critical for early detection of serious anomalies. The framework thus validates a technical adjustment and models innovation under resource constraints, helping ensure continuity of essential diagnostic</w:t>
      </w:r>
      <w:r>
        <w:rPr>
          <w:rFonts w:hint="default" w:ascii="Times New Roman" w:hAnsi="Times New Roman" w:cs="Times New Roman"/>
          <w:sz w:val="24"/>
          <w:szCs w:val="24"/>
          <w:lang w:val="en-US"/>
        </w:rPr>
        <w:t>/research</w:t>
      </w:r>
      <w:r>
        <w:rPr>
          <w:rFonts w:hint="default" w:ascii="Times New Roman" w:hAnsi="Times New Roman" w:cs="Times New Roman"/>
          <w:sz w:val="24"/>
          <w:szCs w:val="24"/>
        </w:rPr>
        <w:t xml:space="preserve"> services despite local or global supply chain disruptions.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Ultimately, we propose a model of validation that combines technical accuracy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and operational resilience. Technical accuracy ensures reliable spectral separation and fragment sizing.  Operational resilience secures continuity and affordability in unstable environments. </w:t>
      </w:r>
    </w:p>
    <w:p>
      <w:pPr>
        <w:pStyle w:val="49"/>
        <w:numPr>
          <w:ilvl w:val="0"/>
          <w:numId w:val="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Materials and Methods</w:t>
      </w:r>
    </w:p>
    <w:p>
      <w:pPr>
        <w:pStyle w:val="49"/>
        <w:numPr>
          <w:ilvl w:val="1"/>
          <w:numId w:val="1"/>
        </w:numPr>
        <w:spacing w:line="360" w:lineRule="auto"/>
        <w:jc w:val="both"/>
        <w:rPr>
          <w:rFonts w:hint="default" w:ascii="Times New Roman" w:hAnsi="Times New Roman" w:cs="Times New Roman"/>
          <w:b/>
          <w:sz w:val="24"/>
          <w:szCs w:val="24"/>
        </w:rPr>
      </w:pPr>
      <w:r>
        <w:rPr>
          <w:rFonts w:hint="default" w:ascii="Times New Roman" w:hAnsi="Times New Roman" w:cs="Times New Roman"/>
          <w:b/>
          <w:bCs/>
          <w:sz w:val="24"/>
          <w:szCs w:val="24"/>
        </w:rPr>
        <w:t>Instrumentation and Reagents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Capillary electrophoresis was performed on ABI 3500xl Genetic Analyzer (24-capillary, 50-cm array) using POP-7™ polymer (Thermo Fisher Scientific). The following reagents were utilized:</w:t>
      </w:r>
    </w:p>
    <w:p>
      <w:pPr>
        <w:pStyle w:val="49"/>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Matrix standard: DS-36 (J6) Matrix Standard (Applied Biosystems).</w:t>
      </w:r>
    </w:p>
    <w:p>
      <w:pPr>
        <w:pStyle w:val="49"/>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Size Standard: SALSA MRC-550 ROX Size Standard (</w:t>
      </w:r>
      <w:r>
        <w:rPr>
          <w:rFonts w:hint="default" w:ascii="Times New Roman" w:hAnsi="Times New Roman" w:cs="Times New Roman"/>
          <w:sz w:val="24"/>
          <w:szCs w:val="24"/>
          <w:lang w:val="en-US"/>
        </w:rPr>
        <w:t xml:space="preserve">MRC-Holland, </w:t>
      </w:r>
      <w:r>
        <w:rPr>
          <w:rFonts w:hint="default" w:ascii="Times New Roman" w:hAnsi="Times New Roman" w:cs="Times New Roman"/>
          <w:sz w:val="24"/>
          <w:szCs w:val="24"/>
        </w:rPr>
        <w:t xml:space="preserve">Amsterdam, the Netherlands). </w:t>
      </w:r>
    </w:p>
    <w:p>
      <w:pPr>
        <w:pStyle w:val="49"/>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Loading Reagent: Hi-Di Formamide (Applied Biosystems)</w:t>
      </w:r>
    </w:p>
    <w:p>
      <w:pPr>
        <w:pStyle w:val="49"/>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Samples: Genomic DNA from 8 amniotic fluid specimens</w:t>
      </w:r>
    </w:p>
    <w:p>
      <w:pPr>
        <w:pStyle w:val="49"/>
        <w:numPr>
          <w:ilvl w:val="0"/>
          <w:numId w:val="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MLPA Probes: SALSA MLPA Probe mix P095-A4 Aneuploidy</w:t>
      </w:r>
      <w:r>
        <w:rPr>
          <w:rFonts w:hint="default" w:ascii="Times New Roman" w:hAnsi="Times New Roman" w:cs="Times New Roman"/>
          <w:sz w:val="24"/>
          <w:szCs w:val="24"/>
          <w:lang w:val="en-US"/>
        </w:rPr>
        <w:t xml:space="preserve"> (MIC-Holland, </w:t>
      </w:r>
      <w:r>
        <w:rPr>
          <w:rFonts w:hint="default" w:ascii="Times New Roman" w:hAnsi="Times New Roman" w:cs="Times New Roman"/>
          <w:sz w:val="24"/>
          <w:szCs w:val="24"/>
        </w:rPr>
        <w:t>Amsterdam, the Netherlands)</w:t>
      </w:r>
    </w:p>
    <w:p>
      <w:pPr>
        <w:spacing w:line="360" w:lineRule="auto"/>
        <w:ind w:left="360"/>
        <w:jc w:val="both"/>
        <w:rPr>
          <w:rFonts w:hint="default" w:ascii="Times New Roman" w:hAnsi="Times New Roman" w:cs="Times New Roman"/>
          <w:sz w:val="24"/>
          <w:szCs w:val="24"/>
        </w:rPr>
      </w:pPr>
      <w:r>
        <w:rPr>
          <w:rFonts w:hint="default" w:ascii="Times New Roman" w:hAnsi="Times New Roman" w:cs="Times New Roman"/>
          <w:sz w:val="24"/>
          <w:szCs w:val="24"/>
        </w:rPr>
        <w:t>The P095 A4 probe mix contains 36 probes spanning 136 to 454 nucleotides, with 8 probes each for chromosomes 13, 18, 21, and X, and 4 probes for chromosome Y, alongside 8 quality control fragments spanning 64 to 100 nucleotides co-amplified for reaction monitoring.</w:t>
      </w:r>
    </w:p>
    <w:p>
      <w:pPr>
        <w:spacing w:line="360" w:lineRule="auto"/>
        <w:ind w:left="360"/>
        <w:jc w:val="both"/>
        <w:rPr>
          <w:rFonts w:hint="default" w:ascii="Times New Roman" w:hAnsi="Times New Roman" w:cs="Times New Roman"/>
          <w:sz w:val="24"/>
          <w:szCs w:val="24"/>
        </w:rPr>
      </w:pPr>
    </w:p>
    <w:p>
      <w:pPr>
        <w:spacing w:line="360" w:lineRule="auto"/>
        <w:ind w:left="360"/>
        <w:jc w:val="both"/>
        <w:rPr>
          <w:rFonts w:hint="default" w:ascii="Times New Roman" w:hAnsi="Times New Roman" w:cs="Times New Roman"/>
          <w:sz w:val="24"/>
          <w:szCs w:val="24"/>
        </w:rPr>
      </w:pPr>
    </w:p>
    <w:p>
      <w:pPr>
        <w:spacing w:line="360" w:lineRule="auto"/>
        <w:ind w:left="360"/>
        <w:jc w:val="both"/>
        <w:rPr>
          <w:rFonts w:hint="default" w:ascii="Times New Roman" w:hAnsi="Times New Roman" w:cs="Times New Roman"/>
          <w:sz w:val="24"/>
          <w:szCs w:val="24"/>
        </w:rPr>
      </w:pPr>
    </w:p>
    <w:p>
      <w:pPr>
        <w:spacing w:line="360" w:lineRule="auto"/>
        <w:ind w:left="360"/>
        <w:jc w:val="both"/>
        <w:rPr>
          <w:rFonts w:hint="default" w:ascii="Times New Roman" w:hAnsi="Times New Roman" w:cs="Times New Roman"/>
          <w:sz w:val="24"/>
          <w:szCs w:val="24"/>
        </w:rPr>
      </w:pPr>
    </w:p>
    <w:p>
      <w:pPr>
        <w:pStyle w:val="49"/>
        <w:numPr>
          <w:ilvl w:val="1"/>
          <w:numId w:val="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Development of the Interoperable Workflow</w:t>
      </w:r>
    </w:p>
    <w:p>
      <w:pPr>
        <w:pStyle w:val="49"/>
        <w:numPr>
          <w:ilvl w:val="2"/>
          <w:numId w:val="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Detecting the ROX Fluorophore in the 6-Dye DS-36 (J6) Spectral Matrix</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Because a J6 dye set is not </w:t>
      </w:r>
      <w:r>
        <w:rPr>
          <w:rFonts w:hint="default" w:ascii="Times New Roman" w:hAnsi="Times New Roman" w:cs="Times New Roman"/>
          <w:sz w:val="24"/>
          <w:szCs w:val="24"/>
          <w:lang w:val="en-US"/>
        </w:rPr>
        <w:t>integrated</w:t>
      </w:r>
      <w:r>
        <w:rPr>
          <w:rFonts w:hint="default" w:ascii="Times New Roman" w:hAnsi="Times New Roman" w:cs="Times New Roman"/>
          <w:sz w:val="24"/>
          <w:szCs w:val="24"/>
        </w:rPr>
        <w:t xml:space="preserve"> in the standard software, a custom 'J6' configuration was manually created within the matrix standard parameters of the ABI 3500xl Data Collection Software (v4.1). An open AnyDye template was utilized as the baseline to establish this profile, allowing the instrument to successfully deconvolve the forensic DS-36 matrix standard. Spectral calibration was performed using the DS-36 (J6) Matrix Standard according to the manufacturer protocol. Subsequently, the SALSA MRC-550 ROX Size Standard from MRC-Holland, Amsterdam, the Netherlands was mixed with Hi-Di Formamide and run under optimized electrophoretic conditions to determine its spectral migration pattern.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Although the ROX signal was initially hypothesized to be detected in the TAZ channel of the DS-36 (J6) matrix standard due to predicted spectral overlap, experimental data demonstrated that it deconvoluted with maximum purity in the SID (4</w:t>
      </w:r>
      <w:r>
        <w:rPr>
          <w:rFonts w:hint="default" w:ascii="Times New Roman" w:hAnsi="Times New Roman" w:cs="Times New Roman"/>
          <w:sz w:val="24"/>
          <w:szCs w:val="24"/>
          <w:vertAlign w:val="superscript"/>
        </w:rPr>
        <w:t>th</w:t>
      </w:r>
      <w:r>
        <w:rPr>
          <w:rFonts w:hint="default" w:ascii="Times New Roman" w:hAnsi="Times New Roman" w:cs="Times New Roman"/>
          <w:sz w:val="24"/>
          <w:szCs w:val="24"/>
        </w:rPr>
        <w:t>) virtual channel. To validate this configuration, five subsequent MLPA runs were performed using the SALSA MLPA Probemix P095 (</w:t>
      </w:r>
      <w:r>
        <w:rPr>
          <w:rFonts w:hint="default" w:ascii="Times New Roman" w:hAnsi="Times New Roman" w:cs="Times New Roman"/>
          <w:sz w:val="24"/>
          <w:szCs w:val="24"/>
          <w:lang w:val="en-US"/>
        </w:rPr>
        <w:t>MIC-Holland</w:t>
      </w:r>
      <w:r>
        <w:rPr>
          <w:rFonts w:hint="default" w:ascii="Times New Roman" w:hAnsi="Times New Roman" w:cs="Times New Roman"/>
          <w:sz w:val="24"/>
          <w:szCs w:val="24"/>
        </w:rPr>
        <w:t>, Amsterdam, The Netherlands) in a 24-well format, incorporating eight fetal genomic DNA samples. Fragment analysis of the MLPA amplicons was subsequently conducted on the ABI 3500xl Genetic Analyzer using the SALSA MRC-550 ROX size standard under optimized electrophoretic conditions.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MLPA data processing, the Dye Set D (ROX) configuration was selected within the Coffalyser.Net software (MRC Holland, Amsterdam, The Netherlands). This choice was predicated on the empirical finding that the ROX signal aligned with the SID channel, allowing the data to be integrated into the analysis pipeline s</w:t>
      </w:r>
      <w:r>
        <w:rPr>
          <w:rFonts w:hint="default" w:ascii="Times New Roman" w:hAnsi="Times New Roman" w:cs="Times New Roman"/>
          <w:sz w:val="24"/>
          <w:szCs w:val="24"/>
          <w:lang w:val="en-US"/>
        </w:rPr>
        <w:t>moothly</w:t>
      </w:r>
      <w:r>
        <w:rPr>
          <w:rFonts w:hint="default" w:ascii="Times New Roman" w:hAnsi="Times New Roman" w:cs="Times New Roman"/>
          <w:sz w:val="24"/>
          <w:szCs w:val="24"/>
        </w:rPr>
        <w:t>. This configuration correctly assigned the SID channel as the sizing anchor, effectively bypassing the complexities of the 6-dye J6 (DS-36) chemistry. It can be inferred that the ROX fluorophore, with excitation and emission maxima of approximately 575 nm and 602 nm respectively, is spectrally analogous to the SID fluorophore within the DS-36 generated spectral matrix.This correlation parallels the established selection of the ROX channel when utilizing the standard 4-dye DS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30 matrix standard as a spectral calibrator of CE instruments in routine MLPA fragment analysis. </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By applying this analogy, ROX-based sizing was successfully implemented using a 6-dye matrix standard without compromising the high resolution required for copy-number variation (CNV) detection. To ensure the robustness of this spectral deconvolution, the workflow was further evaluated by calculating pull-up ratios. This quantified the level of fluorescence bleed-through from the SID channel (assigned to ROX) into the 6-FAM (blue) detection channel, confirming that the repurposed protocol did not introduce analytical artifacts that could impede diagnostic accuracy.</w:t>
      </w:r>
    </w:p>
    <w:p>
      <w:pPr>
        <w:pStyle w:val="49"/>
        <w:numPr>
          <w:ilvl w:val="1"/>
          <w:numId w:val="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Optimization of MLPA &amp; Electrophoresis Running Conditions</w:t>
      </w:r>
    </w:p>
    <w:p>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MLPA reactions were conducted according to Schouten </w:t>
      </w:r>
      <w:r>
        <w:rPr>
          <w:rFonts w:hint="default" w:ascii="Times New Roman" w:hAnsi="Times New Roman" w:cs="Times New Roman"/>
          <w:i/>
          <w:iCs/>
          <w:sz w:val="24"/>
          <w:szCs w:val="24"/>
        </w:rPr>
        <w:t>et al</w:t>
      </w:r>
      <w:r>
        <w:rPr>
          <w:rFonts w:hint="default" w:ascii="Times New Roman" w:hAnsi="Times New Roman" w:cs="Times New Roman"/>
          <w:sz w:val="24"/>
          <w:szCs w:val="24"/>
        </w:rPr>
        <w:t>., (2002), which involved probe hybridization (denaturing at 95°C for 5 minutes followed by cooling to 60°C for 24 hours), ligation at 54°C for 15 minutes, and amplification (35 cycles of 95°C for 30 seconds, 60°C for 30 seconds, and 72°C for 1 minute). Hömig-Hölzel &amp; Savola, 2012</w:t>
      </w:r>
      <w:r>
        <w:rPr>
          <w:rFonts w:hint="default" w:ascii="Times New Roman" w:hAnsi="Times New Roman" w:cs="Times New Roman"/>
          <w:sz w:val="24"/>
          <w:szCs w:val="24"/>
          <w:lang w:val="en-US"/>
        </w:rPr>
        <w:t xml:space="preserve"> had</w:t>
      </w:r>
      <w:r>
        <w:rPr>
          <w:rFonts w:hint="default" w:ascii="Times New Roman" w:hAnsi="Times New Roman" w:cs="Times New Roman"/>
          <w:sz w:val="24"/>
          <w:szCs w:val="24"/>
        </w:rPr>
        <w:t xml:space="preserve"> suggest</w:t>
      </w:r>
      <w:r>
        <w:rPr>
          <w:rFonts w:hint="default" w:ascii="Times New Roman" w:hAnsi="Times New Roman" w:cs="Times New Roman"/>
          <w:sz w:val="24"/>
          <w:szCs w:val="24"/>
          <w:lang w:val="en-US"/>
        </w:rPr>
        <w:t>ed</w:t>
      </w:r>
      <w:r>
        <w:rPr>
          <w:rFonts w:hint="default" w:ascii="Times New Roman" w:hAnsi="Times New Roman" w:cs="Times New Roman"/>
          <w:sz w:val="24"/>
          <w:szCs w:val="24"/>
        </w:rPr>
        <w:t xml:space="preserve"> that the time can be shortened for quicker analysis without impacting the results. When validating capillary electrophoresis, adjusting electro kinetic injection time and voltage is crucial to prevent signals that are too high, which can distort peaks, widen them, or increase spectral pull-up artifacts during </w:t>
      </w:r>
      <w:r>
        <w:rPr>
          <w:rFonts w:hint="default" w:ascii="Times New Roman" w:hAnsi="Times New Roman" w:cs="Times New Roman"/>
          <w:sz w:val="24"/>
          <w:szCs w:val="24"/>
          <w:lang w:val="en-US"/>
        </w:rPr>
        <w:t>multi-component</w:t>
      </w:r>
      <w:r>
        <w:rPr>
          <w:rFonts w:hint="default" w:ascii="Times New Roman" w:hAnsi="Times New Roman" w:cs="Times New Roman"/>
          <w:sz w:val="24"/>
          <w:szCs w:val="24"/>
        </w:rPr>
        <w:t xml:space="preserve"> analysis (Cloete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2017). </w:t>
      </w:r>
    </w:p>
    <w:p>
      <w:p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this experiment, capillary electrophoresis was performed with the following optimal settings: </w:t>
      </w:r>
    </w:p>
    <w:p>
      <w:pPr>
        <w:pStyle w:val="49"/>
        <w:numPr>
          <w:ilvl w:val="0"/>
          <w:numId w:val="3"/>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Oven Temperature: 60°C</w:t>
      </w:r>
    </w:p>
    <w:p>
      <w:pPr>
        <w:pStyle w:val="49"/>
        <w:numPr>
          <w:ilvl w:val="0"/>
          <w:numId w:val="3"/>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Pre-run: 15 kV for 180 sec</w:t>
      </w:r>
    </w:p>
    <w:p>
      <w:pPr>
        <w:pStyle w:val="49"/>
        <w:numPr>
          <w:ilvl w:val="0"/>
          <w:numId w:val="3"/>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Injection: 1.2 kV for 10 sec</w:t>
      </w:r>
    </w:p>
    <w:p>
      <w:pPr>
        <w:pStyle w:val="49"/>
        <w:numPr>
          <w:ilvl w:val="0"/>
          <w:numId w:val="3"/>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Run Voltage: 13.0 kV</w:t>
      </w:r>
    </w:p>
    <w:p>
      <w:pPr>
        <w:pStyle w:val="49"/>
        <w:numPr>
          <w:ilvl w:val="0"/>
          <w:numId w:val="3"/>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Run Time: 2100 sec</w:t>
      </w:r>
    </w:p>
    <w:p>
      <w:pPr>
        <w:pStyle w:val="49"/>
        <w:numPr>
          <w:ilvl w:val="0"/>
          <w:numId w:val="3"/>
        </w:numPr>
        <w:spacing w:after="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Delay: 1 sec</w:t>
      </w:r>
    </w:p>
    <w:p>
      <w:pPr>
        <w:pStyle w:val="49"/>
        <w:numPr>
          <w:ilvl w:val="1"/>
          <w:numId w:val="1"/>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Experiment Protocol and objectives</w:t>
      </w:r>
    </w:p>
    <w:p>
      <w:p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Validation of the </w:t>
      </w:r>
      <w:r>
        <w:rPr>
          <w:rFonts w:hint="default" w:ascii="Times New Roman" w:hAnsi="Times New Roman" w:cs="Times New Roman"/>
          <w:sz w:val="24"/>
          <w:szCs w:val="24"/>
          <w:lang w:val="en-US"/>
        </w:rPr>
        <w:t>re-purposing</w:t>
      </w:r>
      <w:r>
        <w:rPr>
          <w:rFonts w:hint="default" w:ascii="Times New Roman" w:hAnsi="Times New Roman" w:cs="Times New Roman"/>
          <w:sz w:val="24"/>
          <w:szCs w:val="24"/>
        </w:rPr>
        <w:t xml:space="preserve"> experiment was conducted in accordance with international Clinical Laboratory Standards Institute (CLSI) guidelines and established standards for the analytical validation of molecular diagnostic assays (Jennings </w:t>
      </w:r>
      <w:r>
        <w:rPr>
          <w:rFonts w:hint="default" w:ascii="Times New Roman" w:hAnsi="Times New Roman" w:cs="Times New Roman"/>
          <w:i/>
          <w:iCs/>
          <w:sz w:val="24"/>
          <w:szCs w:val="24"/>
        </w:rPr>
        <w:t>et al</w:t>
      </w:r>
      <w:r>
        <w:rPr>
          <w:rFonts w:hint="default" w:ascii="Times New Roman" w:hAnsi="Times New Roman" w:cs="Times New Roman"/>
          <w:sz w:val="24"/>
          <w:szCs w:val="24"/>
        </w:rPr>
        <w:t>., 2009). The performance of the interoperable workflow was evaluated across five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multiplex ligation-dependent probe amplification (MLPA) fragment analysis runs executed on a 24-capillary array platform, yielding a total of 120 reaction wells. </w:t>
      </w:r>
    </w:p>
    <w:p>
      <w:p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aim of the protocol was to demonstrate that the custom calibration matrix maintains the high analytical precision and linear signal deconvolution necessary to accurately resolve discrete copy-number states. To systematically isolate technical variables and verify quantitative baseline thresholds, each 24-capillary electrophoresis run was partitioned into two parallel experiments:</w:t>
      </w:r>
    </w:p>
    <w:p>
      <w:pPr>
        <w:pStyle w:val="49"/>
        <w:numPr>
          <w:ilvl w:val="0"/>
          <w:numId w:val="4"/>
        </w:num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Size Standard Performance (n = 16)</w:t>
      </w:r>
      <w:r>
        <w:rPr>
          <w:rFonts w:hint="default" w:ascii="Times New Roman" w:hAnsi="Times New Roman" w:cs="Times New Roman"/>
          <w:sz w:val="24"/>
          <w:szCs w:val="24"/>
        </w:rPr>
        <w:t>: Sixteen reaction wells per each 24-capillary run were prepared containing exclusively the SALSA MRC-550 ROX size standard and Hi-Di Formamide in the absence of 6-FAM-labeled MLPA probe amplicons. Each 10 µL injection mixture was composed of 3.5 µL of MRC-550 ROX size standard and 6.5 µL of Hi-Di Formamide. These wells were specifically designed to:</w:t>
      </w:r>
    </w:p>
    <w:p>
      <w:pPr>
        <w:pStyle w:val="49"/>
        <w:numPr>
          <w:ilvl w:val="1"/>
          <w:numId w:val="5"/>
        </w:num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Determine the level of spectral bleed-through from the remapped SID (ROX) channel into the FAM channel, thereby determining the analytical threshold boundaries of the custom DS-36 (J6) spectral matrix configuration. </w:t>
      </w:r>
    </w:p>
    <w:p>
      <w:pPr>
        <w:pStyle w:val="49"/>
        <w:numPr>
          <w:ilvl w:val="1"/>
          <w:numId w:val="5"/>
        </w:num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Characterize the electrophoretic migration and peak morphology behavior of the MRC-550 ROX size standard fragments under the interoperable protocol.</w:t>
      </w:r>
    </w:p>
    <w:p>
      <w:pPr>
        <w:pStyle w:val="49"/>
        <w:numPr>
          <w:ilvl w:val="0"/>
          <w:numId w:val="4"/>
        </w:num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MLPA Probe (P095) Performance (n = 8)</w:t>
      </w:r>
      <w:r>
        <w:rPr>
          <w:rFonts w:hint="default" w:ascii="Times New Roman" w:hAnsi="Times New Roman" w:cs="Times New Roman"/>
          <w:sz w:val="24"/>
          <w:szCs w:val="24"/>
        </w:rPr>
        <w:t>: Eight reaction wells per run were allocated to genomic DNA samples amplified using the SALSA MLPA Probe mix P095-A4 Aneuploidy (www.mrc-holland.com, Amsterdam, the Netherlands). Each 10 µL injection mixture was prepared by mixing 0.7 µL of raw MLPA probe amplicons, 5.8 µL of Hi-Di Formamide, and 3.5 µL of MRC-550 ROX size standard. These wells were specifically designed to:</w:t>
      </w:r>
    </w:p>
    <w:p>
      <w:pPr>
        <w:pStyle w:val="49"/>
        <w:numPr>
          <w:ilvl w:val="4"/>
          <w:numId w:val="5"/>
        </w:num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Assess automated fragment size binning and call stability of P095 probe amplicons under the interoperable experiment.</w:t>
      </w:r>
    </w:p>
    <w:p>
      <w:pPr>
        <w:pStyle w:val="49"/>
        <w:numPr>
          <w:ilvl w:val="4"/>
          <w:numId w:val="5"/>
        </w:num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Characterize the electrophoretic mobility and migration behavior of the target-specific P095 amplicons.</w:t>
      </w:r>
    </w:p>
    <w:p>
      <w:pPr>
        <w:pStyle w:val="49"/>
        <w:numPr>
          <w:ilvl w:val="4"/>
          <w:numId w:val="5"/>
        </w:num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Determine the inter-sample diagnostic precision and inter-capillary reproducibility of the interoperable fragment analysis protocol.</w:t>
      </w:r>
    </w:p>
    <w:p>
      <w:pPr>
        <w:pStyle w:val="49"/>
        <w:numPr>
          <w:ilvl w:val="4"/>
          <w:numId w:val="5"/>
        </w:num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Determine the reproducibility and intermediate precision of the interoperable experiment.</w:t>
      </w:r>
    </w:p>
    <w:p>
      <w:pPr>
        <w:pStyle w:val="49"/>
        <w:numPr>
          <w:ilvl w:val="4"/>
          <w:numId w:val="5"/>
        </w:num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Demonstrate the spectral stability, baseline resolution, and general operational resilience of the experiment under the interoperable experimental framework.</w:t>
      </w:r>
    </w:p>
    <w:p>
      <w:pPr>
        <w:pStyle w:val="49"/>
        <w:tabs>
          <w:tab w:val="left" w:pos="0"/>
        </w:tabs>
        <w:spacing w:line="360" w:lineRule="auto"/>
        <w:ind w:left="360"/>
        <w:jc w:val="both"/>
        <w:rPr>
          <w:rFonts w:hint="default" w:ascii="Times New Roman" w:hAnsi="Times New Roman" w:cs="Times New Roman"/>
          <w:sz w:val="24"/>
          <w:szCs w:val="24"/>
        </w:rPr>
      </w:pPr>
    </w:p>
    <w:p>
      <w:pPr>
        <w:pStyle w:val="49"/>
        <w:tabs>
          <w:tab w:val="left" w:pos="0"/>
        </w:tabs>
        <w:spacing w:line="360" w:lineRule="auto"/>
        <w:ind w:left="360"/>
        <w:jc w:val="both"/>
        <w:rPr>
          <w:rFonts w:hint="default" w:ascii="Times New Roman" w:hAnsi="Times New Roman" w:cs="Times New Roman"/>
          <w:sz w:val="24"/>
          <w:szCs w:val="24"/>
        </w:rPr>
      </w:pP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Fragment binning and manual review</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default P095-Aneuploidy bin set supplied by the manufacturer (MRC-Holland, Amsterdam, the Netherlands) was employed for initial fragment identification. To ensure a robust multi-run validation framework, the experimental architecture was structured across five </w:t>
      </w:r>
      <w:r>
        <w:rPr>
          <w:rFonts w:hint="default" w:ascii="Times New Roman" w:hAnsi="Times New Roman" w:cs="Times New Roman"/>
          <w:sz w:val="24"/>
          <w:szCs w:val="24"/>
          <w:lang w:val="en-US"/>
        </w:rPr>
        <w:t xml:space="preserve">separate </w:t>
      </w:r>
      <w:r>
        <w:rPr>
          <w:rFonts w:hint="default" w:ascii="Times New Roman" w:hAnsi="Times New Roman" w:cs="Times New Roman"/>
          <w:sz w:val="24"/>
          <w:szCs w:val="24"/>
        </w:rPr>
        <w:t>analytical runs in accordance with CLSI EP15-A3 (2014) guidelines. To confirm the accuracy of the automated peak assignments, a manual review of the bin alignments for every well that passed initial quality-control criteria was conducted. Each electropherogram was visually examined within Coffalyser.Net software to confirm that detected target peaks were correctly assigned within their manufacturer-supplied default bin boundaries. A probe fragment was flagged for manual alignment correction if its peak fell consistently outside the manufacturer-specified boundaries across the validation dataset.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accordance with the Coffalyser.Net</w:t>
      </w:r>
      <w:r>
        <w:rPr>
          <w:rFonts w:hint="default" w:ascii="Times New Roman" w:hAnsi="Times New Roman" w:cs="Times New Roman"/>
          <w:sz w:val="24"/>
          <w:szCs w:val="24"/>
          <w:lang w:val="en-US"/>
        </w:rPr>
        <w:t xml:space="preserve"> software </w:t>
      </w:r>
      <w:r>
        <w:rPr>
          <w:rFonts w:hint="default" w:ascii="Times New Roman" w:hAnsi="Times New Roman" w:cs="Times New Roman"/>
          <w:sz w:val="24"/>
          <w:szCs w:val="24"/>
        </w:rPr>
        <w:t xml:space="preserve">technical manual, all manual bin adjustments were constrained to shifts of ≤ 0.5 nt per fragment. Y-chromosome-specific probes (n = 4) were evaluated exclusively within the 25 male wells. The Y-105 quality-control fragment (nominal size 105 nt) was intentionally omitted from the active analysis template; a distinct peak migrating at approximately 105.5 nt was documented as an unassigned observation unique to male wells and was excluded from formal bin adjustments. No other fragments were excluded from the bin-assignment analysis.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Fragment data were processed using Coffalyser.Net </w:t>
      </w:r>
      <w:r>
        <w:rPr>
          <w:rFonts w:hint="default" w:ascii="Times New Roman" w:hAnsi="Times New Roman" w:cs="Times New Roman"/>
          <w:sz w:val="24"/>
          <w:szCs w:val="24"/>
          <w:lang w:val="en-US"/>
        </w:rPr>
        <w:t xml:space="preserve">software (MRC-Holland, Amsterdam, the Netherlands) </w:t>
      </w:r>
      <w:r>
        <w:rPr>
          <w:rFonts w:hint="default" w:ascii="Times New Roman" w:hAnsi="Times New Roman" w:cs="Times New Roman"/>
          <w:sz w:val="24"/>
          <w:szCs w:val="24"/>
        </w:rPr>
        <w:t xml:space="preserve">under the Dye Set D configuration. Peak identification, sizing, and standard quality-control checks were performed according to the manufacturer’s recommendations. Formal copy-number validation with characterized aneuploidy controls was outside the scope of the present dye-interoperability study. Because the experiment was designed to assess spectral-matrix characterization rather than diagnostic quantification, comparative reference samples were intentionally omitted. Consequently, the reference-sample-dependent software metrics in Coffalyser.Net </w:t>
      </w:r>
      <w:r>
        <w:rPr>
          <w:rFonts w:hint="default" w:ascii="Times New Roman" w:hAnsi="Times New Roman" w:cs="Times New Roman"/>
          <w:sz w:val="24"/>
          <w:szCs w:val="24"/>
          <w:lang w:val="en-US"/>
        </w:rPr>
        <w:t xml:space="preserve">including </w:t>
      </w:r>
      <w:r>
        <w:rPr>
          <w:rFonts w:hint="default" w:ascii="Times New Roman" w:hAnsi="Times New Roman" w:cs="Times New Roman"/>
          <w:sz w:val="24"/>
          <w:szCs w:val="24"/>
        </w:rPr>
        <w:t xml:space="preserve">Fetal Reference Sample Score </w:t>
      </w:r>
      <w:r>
        <w:rPr>
          <w:rFonts w:hint="default" w:ascii="Times New Roman" w:hAnsi="Times New Roman" w:cs="Times New Roman"/>
          <w:sz w:val="24"/>
          <w:szCs w:val="24"/>
          <w:lang w:val="en-US"/>
        </w:rPr>
        <w:t>(</w:t>
      </w:r>
      <w:r>
        <w:rPr>
          <w:rFonts w:hint="default" w:ascii="Times New Roman" w:hAnsi="Times New Roman" w:cs="Times New Roman"/>
          <w:sz w:val="24"/>
          <w:szCs w:val="24"/>
        </w:rPr>
        <w:t>FRSS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Probe Specific Less Population </w:t>
      </w:r>
      <w:r>
        <w:rPr>
          <w:rFonts w:hint="default" w:ascii="Times New Roman" w:hAnsi="Times New Roman" w:cs="Times New Roman"/>
          <w:sz w:val="24"/>
          <w:szCs w:val="24"/>
          <w:lang w:val="en-US"/>
        </w:rPr>
        <w:t>(</w:t>
      </w:r>
      <w:r>
        <w:rPr>
          <w:rFonts w:hint="default" w:ascii="Times New Roman" w:hAnsi="Times New Roman" w:cs="Times New Roman"/>
          <w:sz w:val="24"/>
          <w:szCs w:val="24"/>
        </w:rPr>
        <w:t>PSLP</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and Comparative Analysis Score </w:t>
      </w:r>
      <w:r>
        <w:rPr>
          <w:rFonts w:hint="default" w:ascii="Times New Roman" w:hAnsi="Times New Roman" w:cs="Times New Roman"/>
          <w:sz w:val="24"/>
          <w:szCs w:val="24"/>
          <w:lang w:val="en-US"/>
        </w:rPr>
        <w:t>(</w:t>
      </w:r>
      <w:r>
        <w:rPr>
          <w:rFonts w:hint="default" w:ascii="Times New Roman" w:hAnsi="Times New Roman" w:cs="Times New Roman"/>
          <w:sz w:val="24"/>
          <w:szCs w:val="24"/>
        </w:rPr>
        <w:t>CAS) were not applicable, and dosage ratios were not used for clinical copy-number variant classification.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Internal quality-control validation nevertheless confirmed that both the baseline FRSS and the Fetal Maternal Reference Score (FMRS) achieved a 100 % threshold across all analytical runs.</w:t>
      </w:r>
    </w:p>
    <w:p>
      <w:pPr>
        <w:pStyle w:val="49"/>
        <w:numPr>
          <w:ilvl w:val="2"/>
          <w:numId w:val="6"/>
        </w:numPr>
        <w:spacing w:line="360" w:lineRule="auto"/>
        <w:jc w:val="both"/>
        <w:rPr>
          <w:rFonts w:hint="default" w:ascii="Times New Roman" w:hAnsi="Times New Roman" w:cs="Times New Roman"/>
          <w:b/>
          <w:bCs/>
          <w:color w:val="EE0000"/>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Characterization of the MRC-550 ROX Size Standard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SALSA MRC</w:t>
      </w:r>
      <w:r>
        <w:rPr>
          <w:rFonts w:hint="default" w:ascii="Times New Roman" w:hAnsi="Times New Roman" w:cs="Times New Roman"/>
          <w:sz w:val="24"/>
          <w:szCs w:val="24"/>
          <w:lang w:val="en-US"/>
        </w:rPr>
        <w:t>-</w:t>
      </w:r>
      <w:r>
        <w:rPr>
          <w:rFonts w:hint="default" w:ascii="Times New Roman" w:hAnsi="Times New Roman" w:cs="Times New Roman"/>
          <w:sz w:val="24"/>
          <w:szCs w:val="24"/>
        </w:rPr>
        <w:t>550 size standard (</w:t>
      </w:r>
      <w:r>
        <w:rPr>
          <w:rFonts w:hint="default" w:ascii="Times New Roman" w:hAnsi="Times New Roman" w:cs="Times New Roman"/>
          <w:sz w:val="24"/>
          <w:szCs w:val="24"/>
          <w:lang w:val="en-US"/>
        </w:rPr>
        <w:t>MRC-Holland</w:t>
      </w:r>
      <w:r>
        <w:rPr>
          <w:rFonts w:hint="default" w:ascii="Times New Roman" w:hAnsi="Times New Roman" w:cs="Times New Roman"/>
          <w:sz w:val="24"/>
          <w:szCs w:val="24"/>
        </w:rPr>
        <w:t>, Amsterdam, the Netherlands) is an ROX</w:t>
      </w:r>
      <w:r>
        <w:rPr>
          <w:rFonts w:hint="default" w:ascii="Times New Roman" w:hAnsi="Times New Roman" w:cs="Times New Roman"/>
          <w:sz w:val="24"/>
          <w:szCs w:val="24"/>
          <w:lang w:val="en-US"/>
        </w:rPr>
        <w:t>-</w:t>
      </w:r>
      <w:r>
        <w:rPr>
          <w:rFonts w:hint="default" w:ascii="Times New Roman" w:hAnsi="Times New Roman" w:cs="Times New Roman"/>
          <w:sz w:val="24"/>
          <w:szCs w:val="24"/>
        </w:rPr>
        <w:t>labeled internal ladder co</w:t>
      </w:r>
      <w:r>
        <w:rPr>
          <w:rFonts w:hint="default" w:ascii="Times New Roman" w:hAnsi="Times New Roman" w:cs="Times New Roman"/>
          <w:sz w:val="24"/>
          <w:szCs w:val="24"/>
          <w:lang w:val="en-US"/>
        </w:rPr>
        <w:t>-</w:t>
      </w:r>
      <w:r>
        <w:rPr>
          <w:rFonts w:hint="default" w:ascii="Times New Roman" w:hAnsi="Times New Roman" w:cs="Times New Roman"/>
          <w:sz w:val="24"/>
          <w:szCs w:val="24"/>
        </w:rPr>
        <w:t>injected into each capillary. It provide</w:t>
      </w:r>
      <w:r>
        <w:rPr>
          <w:rFonts w:hint="default" w:ascii="Times New Roman" w:hAnsi="Times New Roman" w:cs="Times New Roman"/>
          <w:sz w:val="24"/>
          <w:szCs w:val="24"/>
          <w:lang w:val="en-US"/>
        </w:rPr>
        <w:t>d</w:t>
      </w:r>
      <w:r>
        <w:rPr>
          <w:rFonts w:hint="default" w:ascii="Times New Roman" w:hAnsi="Times New Roman" w:cs="Times New Roman"/>
          <w:sz w:val="24"/>
          <w:szCs w:val="24"/>
        </w:rPr>
        <w:t xml:space="preserve"> 31 fragment sizes spanning 58–550 nt (58, 68, 78, 87, 98, 107, 119, 123, 126, 161, 181, 200, 204, 208, 241, 273, 299, 305, 309, 374, 400, 405, 410, 440, 458, 460, 480, 500, 506, 511, and 550 nt). Fragment list CSV files were exported from Coffalyser.Net to capture these coordinates for downstream statistical analysis.</w:t>
      </w:r>
    </w:p>
    <w:p>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To evaluate the baseline performance and migration behavior of the size standard, we used the peak positions (assigned fragment sizes) from the ROX detection channel. Because the size standard is directly labeled with ROX, any spectral bleed-through or cross-talk into the FAM channel remains below the analytical limit of detection. As a result, FAM channel signal intensities do not provide useful information for </w:t>
      </w:r>
      <w:r>
        <w:rPr>
          <w:rFonts w:hint="default" w:ascii="Times New Roman" w:hAnsi="Times New Roman" w:eastAsia="SimSun" w:cs="Times New Roman"/>
          <w:b/>
          <w:bCs/>
          <w:sz w:val="24"/>
          <w:szCs w:val="24"/>
        </w:rPr>
        <w:t>size standard ladder</w:t>
      </w:r>
      <w:r>
        <w:rPr>
          <w:rFonts w:hint="default" w:ascii="Times New Roman" w:hAnsi="Times New Roman" w:eastAsia="SimSun" w:cs="Times New Roman"/>
          <w:sz w:val="24"/>
          <w:szCs w:val="24"/>
        </w:rPr>
        <w:t xml:space="preserve"> calibration. All coordinate mapping for </w:t>
      </w:r>
      <w:r>
        <w:rPr>
          <w:rFonts w:hint="default" w:ascii="Times New Roman" w:hAnsi="Times New Roman" w:eastAsia="SimSun" w:cs="Times New Roman"/>
          <w:b/>
          <w:bCs/>
          <w:sz w:val="24"/>
          <w:szCs w:val="24"/>
        </w:rPr>
        <w:t>size standard</w:t>
      </w:r>
      <w:r>
        <w:rPr>
          <w:rFonts w:hint="default" w:ascii="Times New Roman" w:hAnsi="Times New Roman" w:eastAsia="SimSun" w:cs="Times New Roman"/>
          <w:sz w:val="24"/>
          <w:szCs w:val="24"/>
        </w:rPr>
        <w:t xml:space="preserve"> fragment sizing was therefore based solely on the ROX fluorophore emission signal.</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Peak assignment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each of the 120 capillary wells, comprising 80 baseline characterization wells and 40 MLPA test wells, all signal peak coordinates were extracted from the exported fragment list CSV files. A custom competitive nearest neighbor algorithm was employed in order to map observed peaks to nominal fragment size picks, by adapting classical greedy one to one bipartite matching principles (Cormen </w:t>
      </w:r>
      <w:r>
        <w:rPr>
          <w:rFonts w:hint="default" w:ascii="Times New Roman" w:hAnsi="Times New Roman" w:cs="Times New Roman"/>
          <w:i/>
          <w:iCs/>
          <w:sz w:val="24"/>
          <w:szCs w:val="24"/>
        </w:rPr>
        <w:t>et al</w:t>
      </w:r>
      <w:r>
        <w:rPr>
          <w:rFonts w:hint="default" w:ascii="Times New Roman" w:hAnsi="Times New Roman" w:cs="Times New Roman"/>
          <w:sz w:val="24"/>
          <w:szCs w:val="24"/>
        </w:rPr>
        <w:t>., 2009) to the structural limitations of the MRC-550 and P095 A4 probe mix fragment landscapes (</w:t>
      </w:r>
      <w:r>
        <w:rPr>
          <w:rFonts w:hint="default" w:ascii="Times New Roman" w:hAnsi="Times New Roman" w:cs="Times New Roman"/>
          <w:sz w:val="24"/>
          <w:szCs w:val="24"/>
          <w:lang w:val="en-US"/>
        </w:rPr>
        <w:t>MRC-Holland</w:t>
      </w:r>
      <w:r>
        <w:rPr>
          <w:rFonts w:hint="default" w:ascii="Times New Roman" w:hAnsi="Times New Roman" w:cs="Times New Roman"/>
          <w:sz w:val="24"/>
          <w:szCs w:val="24"/>
        </w:rPr>
        <w:t>, Amsterdam, the Netherlands).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candidate pairs consisting of an observed peak and a nominal size within a designated search window were ranked by absolute spatial distance. Assignment then proceeded greedily to ensure that each observed peak and each nominal size participated in at most one unique match per well. A symmetric ±6 nt search window, one nucleotide wider than the default ±5 nt fragment bin boundary used by Coffalyser.Net (</w:t>
      </w:r>
      <w:r>
        <w:rPr>
          <w:rFonts w:hint="default" w:ascii="Times New Roman" w:hAnsi="Times New Roman" w:cs="Times New Roman"/>
          <w:sz w:val="24"/>
          <w:szCs w:val="24"/>
          <w:lang w:val="en-US"/>
        </w:rPr>
        <w:t>MRC-Holland</w:t>
      </w:r>
      <w:r>
        <w:rPr>
          <w:rFonts w:hint="default" w:ascii="Times New Roman" w:hAnsi="Times New Roman" w:cs="Times New Roman"/>
          <w:sz w:val="24"/>
          <w:szCs w:val="24"/>
        </w:rPr>
        <w:t xml:space="preserve">, Amsterdam, the Netherlands), was implemented for the following reasons. </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First, the wider window better compensates for run‑to‑run variation in capillary electrophoresis (Butler, 2012), ensuring that genuine size standard fragment peaks that shift slightly due to electrophoretic run fluctuations are still captured. </w:t>
      </w:r>
      <w:r>
        <w:rPr>
          <w:rFonts w:hint="default" w:ascii="Times New Roman" w:hAnsi="Times New Roman" w:cs="Times New Roman"/>
          <w:sz w:val="24"/>
          <w:szCs w:val="24"/>
          <w:lang w:val="en-US"/>
        </w:rPr>
        <w:t>Second</w:t>
      </w:r>
      <w:r>
        <w:rPr>
          <w:rFonts w:hint="default" w:ascii="Times New Roman" w:hAnsi="Times New Roman" w:cs="Times New Roman"/>
          <w:sz w:val="24"/>
          <w:szCs w:val="24"/>
        </w:rPr>
        <w:t>, the ±6 nt window exceeds the typical 4–6 nt spacing within the triplet clusters (200/204/208 nt, 299/305/309 nt, 400/405/410 nt) of the MRC-550 ROX size standard. This causes the search ranges for neighboring fragments to overlap, improving detection and assignment of peaks within these high</w:t>
      </w:r>
      <w:r>
        <w:rPr>
          <w:rFonts w:hint="default" w:ascii="Times New Roman" w:hAnsi="Times New Roman" w:cs="Times New Roman"/>
          <w:sz w:val="24"/>
          <w:szCs w:val="24"/>
          <w:lang w:val="en-US"/>
        </w:rPr>
        <w:t>-</w:t>
      </w:r>
      <w:r>
        <w:rPr>
          <w:rFonts w:hint="default" w:ascii="Times New Roman" w:hAnsi="Times New Roman" w:cs="Times New Roman"/>
          <w:sz w:val="24"/>
          <w:szCs w:val="24"/>
        </w:rPr>
        <w:t>density regions. Under these conditions, enforcing a competitive one</w:t>
      </w:r>
      <w:r>
        <w:rPr>
          <w:rFonts w:hint="default" w:ascii="Times New Roman" w:hAnsi="Times New Roman" w:cs="Times New Roman"/>
          <w:sz w:val="24"/>
          <w:szCs w:val="24"/>
          <w:lang w:val="en-US"/>
        </w:rPr>
        <w:t>-</w:t>
      </w:r>
      <w:r>
        <w:rPr>
          <w:rFonts w:hint="default" w:ascii="Times New Roman" w:hAnsi="Times New Roman" w:cs="Times New Roman"/>
          <w:sz w:val="24"/>
          <w:szCs w:val="24"/>
        </w:rPr>
        <w:t>to</w:t>
      </w:r>
      <w:r>
        <w:rPr>
          <w:rFonts w:hint="default" w:ascii="Times New Roman" w:hAnsi="Times New Roman" w:cs="Times New Roman"/>
          <w:sz w:val="24"/>
          <w:szCs w:val="24"/>
          <w:lang w:val="en-US"/>
        </w:rPr>
        <w:t>-</w:t>
      </w:r>
      <w:r>
        <w:rPr>
          <w:rFonts w:hint="default" w:ascii="Times New Roman" w:hAnsi="Times New Roman" w:cs="Times New Roman"/>
          <w:sz w:val="24"/>
          <w:szCs w:val="24"/>
        </w:rPr>
        <w:t>one assignment is essential to prevent cross</w:t>
      </w:r>
      <w:r>
        <w:rPr>
          <w:rFonts w:hint="default" w:ascii="Times New Roman" w:hAnsi="Times New Roman" w:cs="Times New Roman"/>
          <w:sz w:val="24"/>
          <w:szCs w:val="24"/>
          <w:lang w:val="en-US"/>
        </w:rPr>
        <w:t>-</w:t>
      </w:r>
      <w:r>
        <w:rPr>
          <w:rFonts w:hint="default" w:ascii="Times New Roman" w:hAnsi="Times New Roman" w:cs="Times New Roman"/>
          <w:sz w:val="24"/>
          <w:szCs w:val="24"/>
        </w:rPr>
        <w:t>labeling and ambiguous matching between neighboring fragments; this mirrors the fragment</w:t>
      </w:r>
      <w:r>
        <w:rPr>
          <w:rFonts w:hint="default" w:ascii="Times New Roman" w:hAnsi="Times New Roman" w:cs="Times New Roman"/>
          <w:sz w:val="24"/>
          <w:szCs w:val="24"/>
          <w:lang w:val="en-US"/>
        </w:rPr>
        <w:t>-</w:t>
      </w:r>
      <w:r>
        <w:rPr>
          <w:rFonts w:hint="default" w:ascii="Times New Roman" w:hAnsi="Times New Roman" w:cs="Times New Roman"/>
          <w:sz w:val="24"/>
          <w:szCs w:val="24"/>
        </w:rPr>
        <w:t>binning strategy implemented in Coffalyser.Net (</w:t>
      </w:r>
      <w:r>
        <w:rPr>
          <w:rFonts w:hint="default" w:ascii="Times New Roman" w:hAnsi="Times New Roman" w:cs="Times New Roman"/>
          <w:sz w:val="24"/>
          <w:szCs w:val="24"/>
          <w:lang w:val="en-US"/>
        </w:rPr>
        <w:t>MRC-Holland</w:t>
      </w:r>
      <w:r>
        <w:rPr>
          <w:rFonts w:hint="default" w:ascii="Times New Roman" w:hAnsi="Times New Roman" w:cs="Times New Roman"/>
          <w:sz w:val="24"/>
          <w:szCs w:val="24"/>
        </w:rPr>
        <w:t>, Amsterdam, the Netherlands), which applies mutually exclusive fragment bins to preserve accurate fragment sizing in high</w:t>
      </w:r>
      <w:r>
        <w:rPr>
          <w:rFonts w:hint="default" w:ascii="Times New Roman" w:hAnsi="Times New Roman" w:cs="Times New Roman"/>
          <w:sz w:val="24"/>
          <w:szCs w:val="24"/>
          <w:lang w:val="en-US"/>
        </w:rPr>
        <w:t>-</w:t>
      </w:r>
      <w:r>
        <w:rPr>
          <w:rFonts w:hint="default" w:ascii="Times New Roman" w:hAnsi="Times New Roman" w:cs="Times New Roman"/>
          <w:sz w:val="24"/>
          <w:szCs w:val="24"/>
        </w:rPr>
        <w:t>density regions of the electropherogram.</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Fragment retention criteria</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 criteria were applied to the 80 size standard wells (free of MLPA probe amplicons), which constitute the primary characterization matrix. Cross-run completeness was evaluated exclusively in this matrix to avoid the confounding effect of MLPA amplicons competing with MRC-550 peaks in the multi-analyte MLPA wells.</w:t>
      </w:r>
    </w:p>
    <w:p>
      <w:pPr>
        <w:tabs>
          <w:tab w:val="left" w:pos="6394"/>
        </w:tabs>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Criterion 1: Primary Matrix Presence (C1)</w:t>
      </w:r>
      <w:r>
        <w:rPr>
          <w:rFonts w:hint="default" w:ascii="Times New Roman" w:hAnsi="Times New Roman" w:cs="Times New Roman"/>
          <w:sz w:val="24"/>
          <w:szCs w:val="24"/>
        </w:rPr>
        <w:tab/>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fragment was excluded if it produced zero detections across all 80 size standard wells. This follows the principle that a measurand indistinguishable from the blank in the primary matrix cannot be characterized analytically (CLSI EP17-A2, 2012; Armbruster &amp; Pry, 2008). Fragments absent from all ROX-only wells were investigated to determine whether their absence reflected a genuine sub-threshold signal under the DS-36 chemistry on the ABI 3500xl.</w:t>
      </w: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Criterion 2: Cross-Run Detection Completeness (C2).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 fragment was retained only if it achieved detection in ≥ 13 of 16 wells (≥81%) within every one of the five analytical runs. This threshold represents the lower 99th-percentile bound of a Binomial (16, 0.95) detection process modeled using the scipy.stats framework (Virtanen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2020), conferring a conservative false-exclusion rate of 0.60% (1 in 165) per fragment per run.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approach aligns with the operational detection goals of CLSI EP17-A2 (2012), while the requirement for unconditional compliance across all five runs adapts the analytical session frameworks outlined in CLSI EP05-Ed4 (2025) to isolate and minimize multi-run drift.</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Characterization of the Retained Set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Fragments satisfying both C1 and C2 constituted the retained set for downstream sizing analyses. The set was characterized for per-fragment sizing performance by computing: i. Total detections (n) across all 80 wells; ii. Mean observed size; iii. Signed bias (mean observed minus nominal, nt); iv. Repeatability (within-run SD) and between-run SD, derived using the variance decomposition framework of CLSI EP05-Ed4 (2025). Domain-level means were computed as n-weighted averages from unrounded observations. Size domains were identified empirically from the retained fragment distribution and characterized by their correspondence to the P095 probe amplicon size structure (MRC Holland, version A4-06). Fragments passing both C1 and C2 but falling above 410 nt. were excluded from the final calibration set to focus the mathematical constraints of the model strictly within the primary target cluster of the P095-A4 probemix, thereby minimizing uninformative high-molecular-weight interpolation errors while permitting the highly stable, predictable downstream projection and resolution of the full 136–454 nt. diagnostic amplicon range.</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Sizing trueness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Trueness was quantified as the signed bias between mean observed and nominal fragment sizes as: Bias = x̄obs − xnom,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Systemic deviation from zero bias was evaluated using a two-tailed, one-sample t-test (df = 17, calculated across the 18 retained size standard fragments) with 95% confidence intervals computed globally and by sizing domain.</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Sizing linearity</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Linearity was assessed by ordinary least-squares regression of per-fragment mean observed size on nominal size, applied globally across all 18 retained size standard fragments and separately within each domain. The 95% confidence interval of the slope and the coefficient of determination (R²) were used to characterize proportional and overall agreement, respectively.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slope confidence interval (CI) enclosing 1.000 was taken as the criterion for absence of proportional sizing bias, adapting classical analytical regression verification frameworks and clinical bias assessment logic (Miller &amp; Miller, 2010).</w:t>
      </w:r>
    </w:p>
    <w:p>
      <w:pPr>
        <w:pStyle w:val="49"/>
        <w:numPr>
          <w:ilvl w:val="3"/>
          <w:numId w:val="6"/>
        </w:num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Sizing precision</w:t>
      </w:r>
      <w:r>
        <w:rPr>
          <w:rFonts w:hint="default" w:ascii="Times New Roman" w:hAnsi="Times New Roman" w:cs="Times New Roman"/>
          <w:sz w:val="24"/>
          <w:szCs w:val="24"/>
        </w:rPr>
        <w:tab/>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Precision was decomposed into within-run standard deviation (WR) and between-run standard deviation (BR) using the variance decomposition framework of CLSI EP05-Ed4 (2025). The between-run/within-run (BR/WR) ratio was computed to quantify the relative contribution of run-to-run systematic variation to the total sizing variance. All computations were performed in Python v3.10 using the SciPy and Pandas libraries (Virtanen et al., 2020).</w:t>
      </w: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C</w:t>
      </w:r>
      <w:r>
        <w:rPr>
          <w:rFonts w:hint="default" w:ascii="Times New Roman" w:hAnsi="Times New Roman" w:cs="Times New Roman"/>
          <w:b/>
          <w:bCs/>
          <w:sz w:val="24"/>
          <w:szCs w:val="24"/>
        </w:rPr>
        <w:t>haracterization of the P095 probe mix</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Study samples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Forty MLPA wells from five independent runs (eight wells per run) were included in this analysis. Each run comprised five male and three female amniotic fluid specimens. All 40 wells contained samples amplified through the standard SALSA MLPA P095 Aneuploidy probe mix, with fragment analysis executed on the Applied Biosystems 3500xl Genetic Analyzer utilizing the optimized DS-36-calibrated spectral matrix.</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Probe identification and size assignment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Fragment sizing data were exported from Coffalyser.Net software (</w:t>
      </w:r>
      <w:r>
        <w:rPr>
          <w:rFonts w:hint="default" w:ascii="Times New Roman" w:hAnsi="Times New Roman" w:cs="Times New Roman"/>
          <w:sz w:val="24"/>
          <w:szCs w:val="24"/>
          <w:lang w:val="en-US"/>
        </w:rPr>
        <w:t>MRC-Holland</w:t>
      </w:r>
      <w:r>
        <w:rPr>
          <w:rFonts w:hint="default" w:ascii="Times New Roman" w:hAnsi="Times New Roman" w:cs="Times New Roman"/>
          <w:sz w:val="24"/>
          <w:szCs w:val="24"/>
        </w:rPr>
        <w:t xml:space="preserve">, Amsterdam, the Netherlands) following standard analysis of the P095 MLPA capillary electrophoresis runs executed using the optimized DS-36-calibrated spectral matrix. Each target probe amplicon was identified by name within the Coffalyser.Net output based on the P095-A4 probe mix panel definition (MRC Holland, lot version A4-06); the assigned observed size (nt) for each named amplicon was extracted directly from the fragment-list export file for each well.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the rare instance where Coffalyser.Net assigned the same nominal probe size to more than one peak in a single well, the peak with the highest fluorescence intensity was retained. Y-chromosome probe signals (nominal sizes 160, 193, 240, and 283 nt) were used as internal indicators of donor sex; their absence in a given well was taken as indicative of a female donor.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addition to the manufacturer-specified bin boundaries, low-intensity peaks falling below a practical height threshold of 600 RFU were excluded prior to final assignment. This threshold was selected to eliminate residual weak signals that remained after application of the analytical limit of detection (CLSI EP17-A2, 2012) while preserving all diagnostically informative probe peaks, thereby ensuring that subsequent sizing and dosage-ratio calculations were based exclusively on high-confidence observations.</w:t>
      </w:r>
    </w:p>
    <w:p>
      <w:pPr>
        <w:pStyle w:val="49"/>
        <w:numPr>
          <w:ilvl w:val="3"/>
          <w:numId w:val="6"/>
        </w:numPr>
        <w:spacing w:line="360" w:lineRule="auto"/>
        <w:jc w:val="both"/>
        <w:rPr>
          <w:rFonts w:hint="default" w:ascii="Times New Roman" w:hAnsi="Times New Roman" w:cs="Times New Roman"/>
          <w:b/>
          <w:color w:val="FF0000"/>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Mean absolute percentage e error (MAPE) as a metric of sizing accuracy </w:t>
      </w:r>
    </w:p>
    <w:p>
      <w:pPr>
        <w:tabs>
          <w:tab w:val="left" w:pos="3353"/>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Sizing accuracy for each target probe was quantified as the mean absolute percentage error (MAPE) (Hyndman and Koehler, 2006), calculated as:</w:t>
      </w:r>
    </w:p>
    <w:p>
      <w:pPr>
        <w:tabs>
          <w:tab w:val="left" w:pos="3353"/>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MAPE (%) = (100 / n) * Sum of (|Observed_i - Nominal| / Nominal)</w:t>
      </w:r>
    </w:p>
    <w:p>
      <w:pPr>
        <w:tabs>
          <w:tab w:val="left" w:pos="3353"/>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w:t>
      </w:r>
    </w:p>
    <w:p>
      <w:pPr>
        <w:tabs>
          <w:tab w:val="left" w:pos="3353"/>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 = the number of independent observations for that probe (40 for autosomal and X-chromosome probes; 25 for Y-chromosome probes).</w:t>
      </w:r>
    </w:p>
    <w:p>
      <w:pPr>
        <w:tabs>
          <w:tab w:val="left" w:pos="3353"/>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Observed_i = the fragment size (nt) assigned by Coffalyser.Net for the ith well.</w:t>
      </w:r>
    </w:p>
    <w:p>
      <w:pPr>
        <w:tabs>
          <w:tab w:val="left" w:pos="3353"/>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Nominal = the expected fragment size (nt) as specified in the P095-A4 probe mix panel definition (MRC Holland, version A4-06).</w:t>
      </w:r>
    </w:p>
    <w:p>
      <w:pPr>
        <w:tabs>
          <w:tab w:val="left" w:pos="3353"/>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summation runs over all i = 1 to n observations for each probe.</w:t>
      </w:r>
    </w:p>
    <w:p>
      <w:pPr>
        <w:tabs>
          <w:tab w:val="left" w:pos="3353"/>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global MAPE was computed as the unweighted mean of per-probe MAPE values across all 36 target probes. Domain-level MAPE was computed within three pre-specified size domains: Short (less than 200 nt, n=10), Medium (200 to 400 nt, n=21), and Long (greater than 400 nt, n=5). Additionally, chromosome-level MAPE was computed for each of the five chromosomes represented (13, 18, 21, X, and Y).</w:t>
      </w:r>
    </w:p>
    <w:p>
      <w:pPr>
        <w:pStyle w:val="49"/>
        <w:numPr>
          <w:ilvl w:val="3"/>
          <w:numId w:val="6"/>
        </w:numPr>
        <w:spacing w:line="360" w:lineRule="auto"/>
        <w:jc w:val="both"/>
        <w:rPr>
          <w:rFonts w:hint="default" w:ascii="Times New Roman" w:hAnsi="Times New Roman" w:cs="Times New Roman"/>
          <w:b/>
          <w:color w:val="FF0000"/>
          <w:sz w:val="24"/>
          <w:szCs w:val="24"/>
        </w:rPr>
      </w:pPr>
      <w:r>
        <w:rPr>
          <w:rFonts w:hint="default" w:ascii="Times New Roman" w:hAnsi="Times New Roman" w:cs="Times New Roman"/>
          <w:b/>
          <w:bCs/>
          <w:sz w:val="24"/>
          <w:szCs w:val="24"/>
        </w:rPr>
        <w:t xml:space="preserve">Sizing precision </w:t>
      </w:r>
      <w:r>
        <w:rPr>
          <w:rFonts w:hint="default" w:ascii="Times New Roman" w:hAnsi="Times New Roman" w:cs="Times New Roman"/>
          <w:b/>
          <w:bCs/>
          <w:sz w:val="24"/>
          <w:szCs w:val="24"/>
        </w:rPr>
        <w:tab/>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Within-probe precision was characterized across five independent runs using the per-probe standard deviation (SD) of observed fragment sizes and the coefficient of variation (CV = SD/mean × 100%).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These metrics capture the spread of replicate size calls for the same probe across the 40 (or 25, for Y-chromosome probes due to their expected absence in female wells) independent reaction wells, representing overall within-laboratory precision.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isolate specific sources of variability, the total variance structure was partitioned into systematic run-to-run and residual (within-run) components following the linear mixed-effects framework outlined in CLSI EP05-Ed4 (2025). All calculations were executed in a Python v3.10 environment utilizing the SciPy and Pandas libraries (Virtanen </w:t>
      </w:r>
      <w:r>
        <w:rPr>
          <w:rFonts w:hint="default" w:ascii="Times New Roman" w:hAnsi="Times New Roman" w:cs="Times New Roman"/>
          <w:i/>
          <w:iCs/>
          <w:sz w:val="24"/>
          <w:szCs w:val="24"/>
        </w:rPr>
        <w:t>et al</w:t>
      </w:r>
      <w:r>
        <w:rPr>
          <w:rFonts w:hint="default" w:ascii="Times New Roman" w:hAnsi="Times New Roman" w:cs="Times New Roman"/>
          <w:sz w:val="24"/>
          <w:szCs w:val="24"/>
        </w:rPr>
        <w:t>., 2020).</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Bland-Altman agreement analysis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signed sizing bias (observed − nominal, nt) was computed for each observation and pooled across all 1,380 observations to generate a Bland-Altman agreement plot (Bland &amp; Altman, 1986). The mean bias, its 95% confidence interval (CI; one-sample t-distribution, df = 1,379), and the 95% limits of agreement (LoA = mean ± 1.96 SD) were reported. The LoA quantify the interval within which 95% of individual sizing errors are expected to fall (Bland &amp; Altman, 1986). </w:t>
      </w:r>
    </w:p>
    <w:p>
      <w:pPr>
        <w:pStyle w:val="49"/>
        <w:numPr>
          <w:ilvl w:val="3"/>
          <w:numId w:val="6"/>
        </w:numPr>
        <w:spacing w:line="360" w:lineRule="auto"/>
        <w:jc w:val="both"/>
        <w:rPr>
          <w:rFonts w:hint="default" w:ascii="Times New Roman" w:hAnsi="Times New Roman" w:cs="Times New Roman"/>
          <w:b/>
          <w:bCs/>
          <w:color w:val="FF0000"/>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Comparison with MRC-550 size standard</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Probe sizing accuracy within each domain was compared with the sizing bias of the co-migrating MRC-550 ROX size standard fragments occupying the corresponding size range, to contextualize probe sizing error relative to the instrument's internal size-calling reference. This domain-specific comparison was used to confirm whether observed probe mobility variations are systematic instrument alterations rather than probe-specific artifacts.</w:t>
      </w:r>
    </w:p>
    <w:p>
      <w:pPr>
        <w:pStyle w:val="49"/>
        <w:numPr>
          <w:ilvl w:val="3"/>
          <w:numId w:val="6"/>
        </w:numPr>
        <w:spacing w:line="360" w:lineRule="auto"/>
        <w:jc w:val="both"/>
        <w:rPr>
          <w:rFonts w:hint="default" w:ascii="Times New Roman" w:hAnsi="Times New Roman" w:cs="Times New Roman"/>
          <w:b/>
          <w:sz w:val="24"/>
          <w:szCs w:val="24"/>
        </w:rPr>
      </w:pPr>
      <w:r>
        <w:rPr>
          <w:rFonts w:hint="default" w:ascii="Times New Roman" w:hAnsi="Times New Roman" w:cs="Times New Roman"/>
          <w:b/>
          <w:bCs/>
          <w:sz w:val="24"/>
          <w:szCs w:val="24"/>
        </w:rPr>
        <w:t>Mobility Metrics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36 target MLPA probes passed quality control with well-separated bins following manual bin adjustment per the manufacturer’s guidance (MRC Holland, Amsterdam, the Netherlands). No probes were excluded from the mobility analysis; all 36 targets demonstrated complete stability across the dataset</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and were included in all final analyses. Probe mobility was evaluated primarily using Mean Absolute Percentage Error (MAPE), a measure that estimates the absolute sizing error in comparison to the anticipated nominal size of the fragments (Hyndman &amp; Koehler, 2006).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metric was quantified by averaging the absolute percentage deviations of the observed fragment lengths extracted directly from the analytical software fragment lists against the expected nominal fragment lengths provided by the manufacturer across all 40 MLPA wells, representing 1,380 cumulative target observations. To provide a comprehensive performance profile, the following complementary characterization metrics were also evaluated for each individual probe:</w:t>
      </w:r>
    </w:p>
    <w:p>
      <w:pPr>
        <w:pStyle w:val="49"/>
        <w:numPr>
          <w:ilvl w:val="0"/>
          <w:numId w:val="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Mean bias: The difference between the mean observed size and nominal size, indicating systematic migration shifts.</w:t>
      </w:r>
    </w:p>
    <w:p>
      <w:pPr>
        <w:pStyle w:val="49"/>
        <w:numPr>
          <w:ilvl w:val="0"/>
          <w:numId w:val="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Standard Deviation (SD): A metric used to assess absolute fragment sizing precision.</w:t>
      </w:r>
    </w:p>
    <w:p>
      <w:pPr>
        <w:pStyle w:val="49"/>
        <w:numPr>
          <w:ilvl w:val="0"/>
          <w:numId w:val="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Coefficient of Variation (CV %): The ratio of the standard deviation to the mean observed size, serving as a scale-independent measure of precision.</w:t>
      </w:r>
    </w:p>
    <w:p>
      <w:pPr>
        <w:pStyle w:val="49"/>
        <w:numPr>
          <w:ilvl w:val="0"/>
          <w:numId w:val="7"/>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Detection rate: The percentage of sample wells in which the probe was successfully resolved and detected.</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approach is in direct alignment with established validation protocols for clinical capillary electrophoresis techniques (Krebs </w:t>
      </w:r>
      <w:r>
        <w:rPr>
          <w:rFonts w:hint="default" w:ascii="Times New Roman" w:hAnsi="Times New Roman" w:cs="Times New Roman"/>
          <w:i/>
          <w:iCs/>
          <w:sz w:val="24"/>
          <w:szCs w:val="24"/>
        </w:rPr>
        <w:t>et al</w:t>
      </w:r>
      <w:r>
        <w:rPr>
          <w:rFonts w:hint="default" w:ascii="Times New Roman" w:hAnsi="Times New Roman" w:cs="Times New Roman"/>
          <w:sz w:val="24"/>
          <w:szCs w:val="24"/>
        </w:rPr>
        <w:t>., 2023).</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Probe Classification</w:t>
      </w:r>
    </w:p>
    <w:p>
      <w:pPr>
        <w:tabs>
          <w:tab w:val="left" w:pos="2794"/>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Probes were stratified by size to assess the effect of fragment length on migration behavior, which is known to influence electrophoretic mobility (Krebs </w:t>
      </w:r>
      <w:r>
        <w:rPr>
          <w:rFonts w:hint="default" w:ascii="Times New Roman" w:hAnsi="Times New Roman" w:cs="Times New Roman"/>
          <w:i/>
          <w:iCs/>
          <w:sz w:val="24"/>
          <w:szCs w:val="24"/>
        </w:rPr>
        <w:t>et al</w:t>
      </w:r>
      <w:r>
        <w:rPr>
          <w:rFonts w:hint="default" w:ascii="Times New Roman" w:hAnsi="Times New Roman" w:cs="Times New Roman"/>
          <w:sz w:val="24"/>
          <w:szCs w:val="24"/>
        </w:rPr>
        <w:t>., 2023). Fragments were classified into three distinct structural size domains: Short (less than 200 nt; 10 probes), Medium (200 to 400 nt; 21 probes), or Long (greater than 400 nt; 5 probes). Probes were also grouped by chromosome target to assess whether mobility characteristics varied by chromosome.</w:t>
      </w:r>
      <w:r>
        <w:rPr>
          <w:rFonts w:hint="default" w:ascii="Times New Roman" w:hAnsi="Times New Roman" w:cs="Times New Roman"/>
          <w:sz w:val="24"/>
          <w:szCs w:val="24"/>
        </w:rPr>
        <w:tab/>
      </w:r>
    </w:p>
    <w:p>
      <w:pPr>
        <w:pStyle w:val="49"/>
        <w:numPr>
          <w:ilvl w:val="3"/>
          <w:numId w:val="6"/>
        </w:numPr>
        <w:spacing w:line="360" w:lineRule="auto"/>
        <w:jc w:val="both"/>
        <w:rPr>
          <w:rFonts w:hint="default" w:ascii="Times New Roman" w:hAnsi="Times New Roman" w:cs="Times New Roman"/>
          <w:b/>
          <w:bCs/>
          <w:color w:val="FF0000"/>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Linearity Assessment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verify that the fragment sizes correlate linearly with the nominal sizes over the entire analytical range, a linear regression analysis was performed. For each designated size domain as well as the global </w:t>
      </w:r>
      <w:r>
        <w:rPr>
          <w:rFonts w:hint="default" w:ascii="Times New Roman" w:hAnsi="Times New Roman" w:cs="Times New Roman"/>
          <w:sz w:val="24"/>
          <w:szCs w:val="24"/>
          <w:lang w:val="en-US"/>
        </w:rPr>
        <w:t>datasets</w:t>
      </w:r>
      <w:r>
        <w:rPr>
          <w:rFonts w:hint="default" w:ascii="Times New Roman" w:hAnsi="Times New Roman" w:cs="Times New Roman"/>
          <w:sz w:val="24"/>
          <w:szCs w:val="24"/>
        </w:rPr>
        <w:t xml:space="preserve">, the coefficient of determination (R²), slope, and intercept were calculated. Operational validation thresholds were aligned with capillary electrophoresis performance standards derived from CLSI EP06-Ed2 (2020) and CLSI EP06IG (2022) guidelines; the results were regarded as valid if R² was &gt; 0.99, the slope fell strictly between 0.98 and 1.02, and the intercept did not deviate significantly from zero (p &gt; 0.05).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These criteria match established evaluation metrics for clinical capillary electrophoresis instruments (CLSI EP06-Ed2, 2020; Krebs </w:t>
      </w:r>
      <w:r>
        <w:rPr>
          <w:rFonts w:hint="default" w:ascii="Times New Roman" w:hAnsi="Times New Roman" w:cs="Times New Roman"/>
          <w:i/>
          <w:iCs/>
          <w:sz w:val="24"/>
          <w:szCs w:val="24"/>
        </w:rPr>
        <w:t>et al.</w:t>
      </w:r>
      <w:r>
        <w:rPr>
          <w:rFonts w:hint="default" w:ascii="Times New Roman" w:hAnsi="Times New Roman" w:cs="Times New Roman"/>
          <w:sz w:val="24"/>
          <w:szCs w:val="24"/>
        </w:rPr>
        <w:t xml:space="preserve">, 2023). </w:t>
      </w:r>
    </w:p>
    <w:p>
      <w:pPr>
        <w:pStyle w:val="49"/>
        <w:numPr>
          <w:ilvl w:val="3"/>
          <w:numId w:val="6"/>
        </w:numPr>
        <w:spacing w:line="360" w:lineRule="auto"/>
        <w:jc w:val="both"/>
        <w:rPr>
          <w:rFonts w:hint="default" w:ascii="Times New Roman" w:hAnsi="Times New Roman" w:cs="Times New Roman"/>
          <w:b/>
          <w:sz w:val="24"/>
          <w:szCs w:val="24"/>
        </w:rPr>
      </w:pPr>
      <w:r>
        <w:rPr>
          <w:rFonts w:hint="default" w:ascii="Times New Roman" w:hAnsi="Times New Roman" w:cs="Times New Roman"/>
          <w:b/>
          <w:bCs/>
          <w:sz w:val="24"/>
          <w:szCs w:val="24"/>
        </w:rPr>
        <w:t>Integration with Size Standard Performance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isolate probe-specific migration behavior from general instrument variation, the target amplicons were evaluated against the baseline performance of the size standard. The 18 retained size standard fragments, which were reliably detected across all runs, served as a baseline for expected electrophoretic behavior within the CE validation framework (Krebs </w:t>
      </w:r>
      <w:r>
        <w:rPr>
          <w:rFonts w:hint="default" w:ascii="Times New Roman" w:hAnsi="Times New Roman" w:cs="Times New Roman"/>
          <w:i/>
          <w:iCs/>
          <w:sz w:val="24"/>
          <w:szCs w:val="24"/>
        </w:rPr>
        <w:t>et al</w:t>
      </w:r>
      <w:r>
        <w:rPr>
          <w:rFonts w:hint="default" w:ascii="Times New Roman" w:hAnsi="Times New Roman" w:cs="Times New Roman"/>
          <w:sz w:val="24"/>
          <w:szCs w:val="24"/>
        </w:rPr>
        <w:t>., 2023). This approach allowed any unique, sequence-specific probe variations to be clearly identified above the system's standard, size-dependent migration trends.</w:t>
      </w: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I</w:t>
      </w:r>
      <w:r>
        <w:rPr>
          <w:rFonts w:hint="default" w:ascii="Times New Roman" w:hAnsi="Times New Roman" w:cs="Times New Roman"/>
          <w:b/>
          <w:bCs/>
          <w:sz w:val="24"/>
          <w:szCs w:val="24"/>
        </w:rPr>
        <w:t xml:space="preserve">nter-Sample diagnostic Precision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ensure that observed systematic biases do not affect diagnostic accuracy, the experimental setup was tested with four representative genomic DNA samples drawn from the 8 unique samples. Such analyses are made to assure that the differences in mobility observed are not random but stable, thus demonstrating the applicability of the methodology in a real diagnostic context and fulfilling the requirements for multiplex nucleic acid assay validation outlined in (CLSI MM17‑Ed2, 2018).</w:t>
      </w:r>
    </w:p>
    <w:p>
      <w:pPr>
        <w:pStyle w:val="49"/>
        <w:numPr>
          <w:ilvl w:val="3"/>
          <w:numId w:val="6"/>
        </w:numPr>
        <w:spacing w:line="360" w:lineRule="auto"/>
        <w:jc w:val="both"/>
        <w:rPr>
          <w:rFonts w:hint="default" w:ascii="Times New Roman" w:hAnsi="Times New Roman" w:cs="Times New Roman"/>
          <w:b/>
          <w:bCs/>
          <w:color w:val="FF0000"/>
          <w:sz w:val="24"/>
          <w:szCs w:val="24"/>
        </w:rPr>
      </w:pPr>
      <w:r>
        <w:rPr>
          <w:rFonts w:hint="default" w:ascii="Times New Roman" w:hAnsi="Times New Roman" w:cs="Times New Roman"/>
          <w:b/>
          <w:bCs/>
          <w:sz w:val="24"/>
          <w:szCs w:val="24"/>
        </w:rPr>
        <w:t xml:space="preserve"> Sentinel Probe Selection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order to evaluate analytical precision across the complete sizing spectrum of the assay, a stratified subset of 15 sentinel fragments was selected. These targets spanned an analytical range between 64 and 454 nucleotides, ensuring comprehensive coverage of all fragment size domains and target chromosomes necessary to rigorously quantify electrophoretic mobility reproducibility (Table 4).</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Table4 Sentinel probes selected for precision analysis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Size Domain</w:t>
      </w:r>
      <w:r>
        <w:rPr>
          <w:rFonts w:hint="default" w:ascii="Times New Roman" w:hAnsi="Times New Roman" w:cs="Times New Roman"/>
          <w:sz w:val="24"/>
          <w:szCs w:val="24"/>
        </w:rPr>
        <w:tab/>
      </w:r>
      <w:r>
        <w:rPr>
          <w:rFonts w:hint="default" w:ascii="Times New Roman" w:hAnsi="Times New Roman" w:cs="Times New Roman"/>
          <w:sz w:val="24"/>
          <w:szCs w:val="24"/>
        </w:rPr>
        <w:t>Size Range</w:t>
      </w:r>
      <w:r>
        <w:rPr>
          <w:rFonts w:hint="default" w:ascii="Times New Roman" w:hAnsi="Times New Roman" w:cs="Times New Roman"/>
          <w:sz w:val="24"/>
          <w:szCs w:val="24"/>
        </w:rPr>
        <w:tab/>
      </w:r>
      <w:r>
        <w:rPr>
          <w:rFonts w:hint="default" w:ascii="Times New Roman" w:hAnsi="Times New Roman" w:cs="Times New Roman"/>
          <w:sz w:val="24"/>
          <w:szCs w:val="24"/>
        </w:rPr>
        <w:t xml:space="preserve">           Probe IDs</w:t>
      </w:r>
      <w:r>
        <w:rPr>
          <w:rFonts w:hint="default" w:ascii="Times New Roman" w:hAnsi="Times New Roman" w:cs="Times New Roman"/>
          <w:sz w:val="24"/>
          <w:szCs w:val="24"/>
        </w:rPr>
        <w:tab/>
      </w:r>
      <w:r>
        <w:rPr>
          <w:rFonts w:hint="default" w:ascii="Times New Roman" w:hAnsi="Times New Roman" w:cs="Times New Roman"/>
          <w:sz w:val="24"/>
          <w:szCs w:val="24"/>
        </w:rPr>
        <w:t xml:space="preserve">                    Number of Probes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Short</w:t>
      </w:r>
      <w:r>
        <w:rPr>
          <w:rFonts w:hint="default" w:ascii="Times New Roman" w:hAnsi="Times New Roman" w:cs="Times New Roman"/>
          <w:sz w:val="24"/>
          <w:szCs w:val="24"/>
        </w:rPr>
        <w:tab/>
      </w:r>
      <w:r>
        <w:rPr>
          <w:rFonts w:hint="default" w:ascii="Times New Roman" w:hAnsi="Times New Roman" w:cs="Times New Roman"/>
          <w:sz w:val="24"/>
          <w:szCs w:val="24"/>
        </w:rPr>
        <w:t xml:space="preserve">            &lt;200 nt               00813-L00636 (166 nt),                           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00808-L00326 (172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00799-L00317 (178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02155-L01607 (184 nt)</w:t>
      </w:r>
      <w:r>
        <w:rPr>
          <w:rFonts w:hint="default" w:ascii="Times New Roman" w:hAnsi="Times New Roman" w:cs="Times New Roman"/>
          <w:sz w:val="24"/>
          <w:szCs w:val="24"/>
        </w:rPr>
        <w:tab/>
      </w:r>
      <w:r>
        <w:rPr>
          <w:rFonts w:hint="default" w:ascii="Times New Roman" w:hAnsi="Times New Roman" w:cs="Times New Roman"/>
          <w:sz w:val="24"/>
          <w:szCs w:val="24"/>
        </w:rPr>
        <w:t xml:space="preserve">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r>
        <w:rPr>
          <w:rFonts w:hint="default" w:ascii="Times New Roman" w:hAnsi="Times New Roman" w:cs="Times New Roman"/>
          <w:sz w:val="24"/>
          <w:szCs w:val="24"/>
        </w:rPr>
        <w:tab/>
      </w:r>
      <w:r>
        <w:rPr>
          <w:rFonts w:hint="default" w:ascii="Times New Roman" w:hAnsi="Times New Roman" w:cs="Times New Roman"/>
          <w:sz w:val="24"/>
          <w:szCs w:val="24"/>
        </w:rPr>
        <w:t xml:space="preserve"> 200–350 nt</w:t>
      </w:r>
      <w:r>
        <w:rPr>
          <w:rFonts w:hint="default" w:ascii="Times New Roman" w:hAnsi="Times New Roman" w:cs="Times New Roman"/>
          <w:sz w:val="24"/>
          <w:szCs w:val="24"/>
        </w:rPr>
        <w:tab/>
      </w:r>
      <w:r>
        <w:rPr>
          <w:rFonts w:hint="default" w:ascii="Times New Roman" w:hAnsi="Times New Roman" w:cs="Times New Roman"/>
          <w:sz w:val="24"/>
          <w:szCs w:val="24"/>
        </w:rPr>
        <w:t xml:space="preserve">    02115-L01605 (202 nt),                           5</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02845-L02275 (211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00582-L00147 (220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02116-L01604 (291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00811-L00329 (301 nt)</w:t>
      </w:r>
      <w:r>
        <w:rPr>
          <w:rFonts w:hint="default" w:ascii="Times New Roman" w:hAnsi="Times New Roman" w:cs="Times New Roman"/>
          <w:sz w:val="24"/>
          <w:szCs w:val="24"/>
        </w:rPr>
        <w:tab/>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Long</w:t>
      </w:r>
      <w:r>
        <w:rPr>
          <w:rFonts w:hint="default" w:ascii="Times New Roman" w:hAnsi="Times New Roman" w:cs="Times New Roman"/>
          <w:sz w:val="24"/>
          <w:szCs w:val="24"/>
        </w:rPr>
        <w:tab/>
      </w:r>
      <w:r>
        <w:rPr>
          <w:rFonts w:hint="default" w:ascii="Times New Roman" w:hAnsi="Times New Roman" w:cs="Times New Roman"/>
          <w:sz w:val="24"/>
          <w:szCs w:val="24"/>
        </w:rPr>
        <w:t xml:space="preserve">            &gt;350 nt</w:t>
      </w:r>
      <w:r>
        <w:rPr>
          <w:rFonts w:hint="default" w:ascii="Times New Roman" w:hAnsi="Times New Roman" w:cs="Times New Roman"/>
          <w:sz w:val="24"/>
          <w:szCs w:val="24"/>
        </w:rPr>
        <w:tab/>
      </w:r>
      <w:r>
        <w:rPr>
          <w:rFonts w:hint="default" w:ascii="Times New Roman" w:hAnsi="Times New Roman" w:cs="Times New Roman"/>
          <w:sz w:val="24"/>
          <w:szCs w:val="24"/>
        </w:rPr>
        <w:t xml:space="preserve">    00452-L00360 (355 nt),                           6</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02834-L02265 (382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02846-L02276 (391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00801-L00639 (400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00802-L00320 (443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01388-L28680 (454 nt)</w:t>
      </w:r>
      <w:r>
        <w:rPr>
          <w:rFonts w:hint="default" w:ascii="Times New Roman" w:hAnsi="Times New Roman" w:cs="Times New Roman"/>
          <w:sz w:val="24"/>
          <w:szCs w:val="24"/>
        </w:rPr>
        <w:tab/>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QC Fragments</w:t>
      </w:r>
      <w:r>
        <w:rPr>
          <w:rFonts w:hint="default" w:ascii="Times New Roman" w:hAnsi="Times New Roman" w:cs="Times New Roman"/>
          <w:sz w:val="24"/>
          <w:szCs w:val="24"/>
        </w:rPr>
        <w:tab/>
      </w:r>
      <w:r>
        <w:rPr>
          <w:rFonts w:hint="default" w:ascii="Times New Roman" w:hAnsi="Times New Roman" w:cs="Times New Roman"/>
          <w:sz w:val="24"/>
          <w:szCs w:val="24"/>
        </w:rPr>
        <w:t xml:space="preserve"> 64–105 nt</w:t>
      </w:r>
      <w:r>
        <w:rPr>
          <w:rFonts w:hint="default" w:ascii="Times New Roman" w:hAnsi="Times New Roman" w:cs="Times New Roman"/>
          <w:sz w:val="24"/>
          <w:szCs w:val="24"/>
        </w:rPr>
        <w:tab/>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Q-64 (64 nt),                                          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Q-70 (70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Coefficient of Variation (CV %) for each sentinel probe from the representative samples was calculated using the formula: CV% = (SD/x̄)×100. The standard deviation (SD) of observed fragment sizes was calculated across the four samples while the mean observed fragment size (x̄) was determined from all four samples.</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Stability of Mobility Shifts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Sample mobility patterns were evaluated by calculating the standard deviation of sizing bias measurements, defined as the difference between the observed and expected nominal fragment sizes at each designated sentinel probe location. Sizing precision and reproducibility were assessed across distinct fragment size domains (short, medium, and long) to monitor the stability of systematic, dye-induced migration shifts across independent capillary electrophoresis runs and samples. These variance parameters were established to track ongoing instrument precision and determine run-to-run uniformity, providing the baseline operational metrics required for downstream manual fragment bin adjustments.</w:t>
      </w: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Spectral Bleed-Through (Crosstalk)</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evaluate signal overlap between the ROX and FAM channels, the 80 wells containing only the MRC-550 ROX size standard mixed with HiDi formamide (16 wells × 5 runs) were analyzed. This assessment followed the Clinical and Laboratory Standards Institute (CLSI EP17-A2, 2012) guidelines for evaluating baseline detection boundaries. Statistical analyses were performed based on established methods (Armbruster and Pry, 2008).</w:t>
      </w:r>
    </w:p>
    <w:p>
      <w:pPr>
        <w:pStyle w:val="49"/>
        <w:numPr>
          <w:ilvl w:val="3"/>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FAM Channel Background Signal Analysis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baseline validation wells containing exclusively the MRC-550 ROX size standard, any detected signal within the FAM channel was quantified as background noise since no 6-FAM-labeled MLPA probes were added here. This background fluorescence intensity was measured within non-analytical windows located outside the target fragment boundaries (40–60 nt and 410–430 nt) to establish baseline system noise in accordance with methods described by Armbruster and Pry (2008). To establish objective thresholds for operational fragment discrimination, the Limit of Blank (LoB) and Limit of Detection (LoD) were determined following Clinical and Laboratory Standards Institute (CLSI EP17-A2, 2012) guidelines.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Because raw fluorescence distributions in capillary electrophoresis exhibit inherent non-normality, standard parametric equations relying on mean and standard deviation were replaced with a robust non-parametric framework. A bootstrap resampling protocol utilizing 1,000 iterations was executed following the techniques described by Manly (2018) to simulate stable empirical distributions of the baseline matrix.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From these resampled iterations, the LoB was determined directly as the empirical 95</w:t>
      </w:r>
      <w:r>
        <w:rPr>
          <w:rFonts w:hint="default" w:ascii="Times New Roman" w:hAnsi="Times New Roman" w:cs="Times New Roman"/>
          <w:sz w:val="24"/>
          <w:szCs w:val="24"/>
          <w:vertAlign w:val="superscript"/>
        </w:rPr>
        <w:t xml:space="preserve">th </w:t>
      </w:r>
      <w:r>
        <w:rPr>
          <w:rFonts w:hint="default" w:ascii="Times New Roman" w:hAnsi="Times New Roman" w:cs="Times New Roman"/>
          <w:sz w:val="24"/>
          <w:szCs w:val="24"/>
        </w:rPr>
        <w:t>percentile of the blank distribution (α = 0.05). Because the experimental design isolated instrument noise behaviors using exclusively blank replicates in the absence of low-concentration target amplicons, the final operational LoD was estimated using the CLSI EP17-A2 parametric approximation for when low-level samples are unavailable: LoD = LoB + 1.645 × σ_blank (where σ_blank is the standard deviation of the bootstrapped baseline noise floor). Fluorescent signals exceeding this final calculated LoD threshold in subsequent operational runs were categorized as authentic, detectable amplification peaks rather than background artifacts or cross-channel spectral bleed-through. This detailed characterization of background noise in the FAM channel is crucial for establishing reliable detection thresholds, enabling confident differentiation between true biological signals and background noise in all subsequent MLPA test sample analyses (Armbruster &amp; Pry, 2008; CLSI EP17-A2, 2012).</w:t>
      </w:r>
    </w:p>
    <w:p>
      <w:pPr>
        <w:pStyle w:val="49"/>
        <w:numPr>
          <w:ilvl w:val="3"/>
          <w:numId w:val="6"/>
        </w:numPr>
        <w:spacing w:line="360" w:lineRule="auto"/>
        <w:jc w:val="both"/>
        <w:rPr>
          <w:rFonts w:hint="default" w:ascii="Times New Roman" w:hAnsi="Times New Roman" w:cs="Times New Roman"/>
          <w:b/>
          <w:bCs/>
          <w:color w:val="FF0000"/>
          <w:sz w:val="24"/>
          <w:szCs w:val="24"/>
        </w:rPr>
      </w:pPr>
      <w:r>
        <w:rPr>
          <w:rFonts w:hint="default" w:ascii="Times New Roman" w:hAnsi="Times New Roman" w:cs="Times New Roman"/>
          <w:b/>
          <w:bCs/>
          <w:sz w:val="24"/>
          <w:szCs w:val="24"/>
        </w:rPr>
        <w:t xml:space="preserve"> Total Error and Bias Quantification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To quantify overall measurement uncertainty across both the fragment sizing and dosage domains, Total Error (TE) and systematic bias were modeled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according to CLSI EP21-Ed3 (2025) and clinical laboratory comparison standards (Giavarina, 2015). Total Error combines bias and imprecision into a single measure of maximum likely deviation and was determined using the following parametric equation: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 = |Bias| + z*s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Where: |Bias|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absolute difference between the mean observed value (mean probe ratio for diploid targets or nominal fragment length for sizing) and its corresponding reference value (1.0 for ratios; manufacturer-defined baseline size for fragment lengths),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standard deviation of the measurement process, and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z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constant for a one-sided 95% confidence interval (z = 1.65).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Calculated TE values were evaluated against pre-defined Total Allowable Error (TEa) targets, established via laboratory risk analysis at ±0.2 for probe ratios and 1.0 nt for fragment sizing. Systematic measurement deviations across the analytical range were visualized and assessed via Bland-Altman difference modeling (Bland &amp; Altman, 1986).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Pairwise differences (D = X observed – X nominal) were regressed against paired means (M = X observed + X nominal) / 2). The empirical limits of agreement were defined as the mean difference ± 1.96 standard deviations of the differences, indicating the zone within which 95% of deviations are expected to fall. The presence of proportional bias was verified via linear regression of the paired differences on the paired means. Analytical error profiles were stratified across targeted size domains: short (&lt;200 nt), medium (200–400 nt), and long (&gt;400 nt) fragments, and chromosome domains (13, 18, 21, X, and Y) to evaluate execution against the baseline validation criteria summarized in Table 6.</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6: Acceptance Criteria for Analytical Error Metrics in Repurposed DS-36 Spectral Calibration Validation for ROX-Based MLPA Fragment Sizing</w:t>
      </w:r>
    </w:p>
    <w:tbl>
      <w:tblPr>
        <w:tblStyle w:val="24"/>
        <w:tblW w:w="10246" w:type="dxa"/>
        <w:tblInd w:w="-1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23"/>
        <w:gridCol w:w="3397"/>
        <w:gridCol w:w="2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3"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Parameter</w:t>
            </w:r>
          </w:p>
        </w:tc>
        <w:tc>
          <w:tcPr>
            <w:tcW w:w="3397"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Acceptance Criterion</w:t>
            </w:r>
          </w:p>
        </w:tc>
        <w:tc>
          <w:tcPr>
            <w:tcW w:w="2926"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3"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 Allowable Error (TEa) for ratios</w:t>
            </w:r>
          </w:p>
        </w:tc>
        <w:tc>
          <w:tcPr>
            <w:tcW w:w="3397"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0.2</w:t>
            </w:r>
          </w:p>
        </w:tc>
        <w:tc>
          <w:tcPr>
            <w:tcW w:w="2926"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(CLSI EP21-Ed3,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3"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Total Allowable Error (TEa) for sizing</w:t>
            </w:r>
          </w:p>
        </w:tc>
        <w:tc>
          <w:tcPr>
            <w:tcW w:w="3397"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1.0 nt</w:t>
            </w:r>
          </w:p>
        </w:tc>
        <w:tc>
          <w:tcPr>
            <w:tcW w:w="2926"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(CLSI EP21-Ed3, 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3"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Bland</w:t>
            </w:r>
            <w:r>
              <w:rPr>
                <w:rFonts w:hint="default" w:ascii="Times New Roman" w:hAnsi="Times New Roman" w:cs="Times New Roman"/>
                <w:sz w:val="24"/>
                <w:szCs w:val="24"/>
                <w:lang w:val="en-US"/>
              </w:rPr>
              <w:t>-</w:t>
            </w:r>
            <w:r>
              <w:rPr>
                <w:rFonts w:hint="default" w:ascii="Times New Roman" w:hAnsi="Times New Roman" w:cs="Times New Roman"/>
                <w:sz w:val="24"/>
                <w:szCs w:val="24"/>
              </w:rPr>
              <w:t>Altman limits of agreement</w:t>
            </w:r>
          </w:p>
        </w:tc>
        <w:tc>
          <w:tcPr>
            <w:tcW w:w="3397"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Within ±2 SD of mean difference</w:t>
            </w:r>
          </w:p>
        </w:tc>
        <w:tc>
          <w:tcPr>
            <w:tcW w:w="2926"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(Bland &amp; Altman, 1986; Giavarina, 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23"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Proportional bias</w:t>
            </w:r>
          </w:p>
        </w:tc>
        <w:tc>
          <w:tcPr>
            <w:tcW w:w="3397"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 &gt; 0.05 for slope of difference vs. mean</w:t>
            </w:r>
          </w:p>
        </w:tc>
        <w:tc>
          <w:tcPr>
            <w:tcW w:w="2926" w:type="dxa"/>
          </w:tcPr>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(Giavarina, 2015)</w:t>
            </w:r>
          </w:p>
        </w:tc>
      </w:tr>
    </w:tbl>
    <w:p>
      <w:pPr>
        <w:spacing w:line="360" w:lineRule="auto"/>
        <w:rPr>
          <w:rFonts w:hint="default" w:ascii="Times New Roman" w:hAnsi="Times New Roman" w:cs="Times New Roman"/>
          <w:sz w:val="24"/>
          <w:szCs w:val="24"/>
        </w:rPr>
      </w:pP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Reproducibility &amp; Intermediate Precision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Intermediate precision (within-laboratory variability) of the capillary electrophoresis platform was evaluated in accordance with Clinical and Laboratory Standards Institute (CLSI) EP05-Ed4 (2025) guidelines. To isolate and quantify baseline stability, a non-parametric bootstrap resampling framework was implemented via custom Python scripts. This computational model broke down the total within-laboratory variance across eighty background verification replicates, separating run-to-run changes from its nested subset of capillary-to-capillary residual error (within-run repeatability).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Platform reliability and fragment sizing stability were then verified by executing a 1,000-iteration bootstrap protocol (Manly, 2018) within the Python environment, targeting the internal peak profiles of the MRC-550 ROX size standard. </w:t>
      </w: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Spectral stability and robustness (Ruggedness)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evaluate long-term instrument stability and the ruggedness of the channel separation over time, the sizing behavior of the MRC-550 ROX size standard fragments was carefully monitored across all five sequential validation runs. Utilizing the 80 baseline wells (16 per run) allowed for a direct assessment of core instrument performance and capillary consistency, independent of variables introduced by sample preparation or biological factors (CLSI EP05-Ed4, 2025). Continuous stability and the absence of systematic baseline drift were verified by tracking the background signal of the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FAM channel relative to the high-intensity ROX peaks from run 1 through run 5. Run-specific mean coordinates and baseline profiles were monitored across each injection cycle to confirm that the optical system maintained reliable dye-channel isolation over extended use. This tracking framework demonstrated platform ruggedness by ensuring that background baseline fluctuations remained safely and consistently below the established operational Limit of Detection (LoD) threshold across continuous diagnostic cycles, verifying stable and dependable instrument performance throughout the validation process.</w:t>
      </w:r>
    </w:p>
    <w:p>
      <w:pPr>
        <w:pStyle w:val="49"/>
        <w:numPr>
          <w:ilvl w:val="1"/>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Data Exclusion and Quality Control Criteria</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Prior to the running of any statistics, all the raw data from the 120 reaction wells, comprising 80 MRC-550 size standard (ROX-only) controls and 40 MLPA test wells, underwent st</w:t>
      </w:r>
      <w:r>
        <w:rPr>
          <w:rFonts w:hint="default" w:ascii="Times New Roman" w:hAnsi="Times New Roman" w:cs="Times New Roman"/>
          <w:sz w:val="24"/>
          <w:szCs w:val="24"/>
          <w:lang w:val="en-US"/>
        </w:rPr>
        <w:t>andard</w:t>
      </w:r>
      <w:r>
        <w:rPr>
          <w:rFonts w:hint="default" w:ascii="Times New Roman" w:hAnsi="Times New Roman" w:cs="Times New Roman"/>
          <w:sz w:val="24"/>
          <w:szCs w:val="24"/>
        </w:rPr>
        <w:t xml:space="preserve"> quality control </w:t>
      </w:r>
      <w:r>
        <w:rPr>
          <w:rFonts w:hint="default" w:ascii="Times New Roman" w:hAnsi="Times New Roman" w:cs="Times New Roman"/>
          <w:sz w:val="24"/>
          <w:szCs w:val="24"/>
          <w:lang w:val="en-US"/>
        </w:rPr>
        <w:t xml:space="preserve">screening </w:t>
      </w:r>
      <w:r>
        <w:rPr>
          <w:rFonts w:hint="default" w:ascii="Times New Roman" w:hAnsi="Times New Roman" w:cs="Times New Roman"/>
          <w:sz w:val="24"/>
          <w:szCs w:val="24"/>
        </w:rPr>
        <w:t>according to set standards. This ensured that only quality data was filtered into the validation process, maintaining the integrity of all performance assessments (CLSI EP15</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A3, 2014; Jennings </w:t>
      </w:r>
      <w:r>
        <w:rPr>
          <w:rFonts w:hint="default" w:ascii="Times New Roman" w:hAnsi="Times New Roman" w:cs="Times New Roman"/>
          <w:i/>
          <w:iCs/>
          <w:sz w:val="24"/>
          <w:szCs w:val="24"/>
        </w:rPr>
        <w:t>et al</w:t>
      </w:r>
      <w:r>
        <w:rPr>
          <w:rFonts w:hint="default" w:ascii="Times New Roman" w:hAnsi="Times New Roman" w:cs="Times New Roman"/>
          <w:sz w:val="24"/>
          <w:szCs w:val="24"/>
        </w:rPr>
        <w:t>., 2009).</w:t>
      </w: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Baseline Noise Criterion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Baseline noise in the FAM channel was monitored for each sample by observing the background fluorescence in regions outside the active analytical window (40–60 nt and 410–430 nt), where no specific peaks migrate. This routine check was performed to confirm that the background remained quiet and did not interfere with the clear resolution of the target fragments.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Individual sample electropherograms were reviewed to ensure a clean baseline, free of anomalies or spectral artifacts that might affect peak identification. Across all evaluated wells, the baseline was consistently stable and flat, allowing the diagnostic target peaks to be sharply and reliably resolved. Any minor background fluctuations were merely transient and located entirely outside critical bin boundaries. Consequently, every sample met the necessary quality standards, and no data required exclusion on the basis of baseline noise.</w:t>
      </w: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Study Design and Quality Control Outcomes </w:t>
      </w:r>
    </w:p>
    <w:p>
      <w:pPr>
        <w:tabs>
          <w:tab w:val="left" w:pos="1988"/>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experiment was structured across 5 </w:t>
      </w:r>
      <w:r>
        <w:rPr>
          <w:rFonts w:hint="default" w:ascii="Times New Roman" w:hAnsi="Times New Roman" w:cs="Times New Roman"/>
          <w:sz w:val="24"/>
          <w:szCs w:val="24"/>
          <w:lang w:val="en-US"/>
        </w:rPr>
        <w:t>separate</w:t>
      </w:r>
      <w:r>
        <w:rPr>
          <w:rFonts w:hint="default" w:ascii="Times New Roman" w:hAnsi="Times New Roman" w:cs="Times New Roman"/>
          <w:sz w:val="24"/>
          <w:szCs w:val="24"/>
        </w:rPr>
        <w:t xml:space="preserve"> analytical runs, with each run incorporating 16 size standard (ROX</w:t>
      </w:r>
      <w:r>
        <w:rPr>
          <w:rFonts w:hint="default" w:ascii="Times New Roman" w:hAnsi="Times New Roman" w:cs="Times New Roman"/>
          <w:sz w:val="24"/>
          <w:szCs w:val="24"/>
          <w:lang w:val="en-US"/>
        </w:rPr>
        <w:t>-</w:t>
      </w:r>
      <w:r>
        <w:rPr>
          <w:rFonts w:hint="default" w:ascii="Times New Roman" w:hAnsi="Times New Roman" w:cs="Times New Roman"/>
          <w:sz w:val="24"/>
          <w:szCs w:val="24"/>
        </w:rPr>
        <w:t>only) control wells and 8 MLPA test wells</w:t>
      </w:r>
      <w:r>
        <w:rPr>
          <w:rFonts w:hint="default" w:ascii="Times New Roman" w:hAnsi="Times New Roman" w:cs="Times New Roman"/>
          <w:sz w:val="24"/>
          <w:szCs w:val="24"/>
          <w:lang w:val="en-US"/>
        </w:rPr>
        <w:t xml:space="preserve"> repeated 5 times </w:t>
      </w:r>
      <w:r>
        <w:rPr>
          <w:rFonts w:hint="default" w:ascii="Times New Roman" w:hAnsi="Times New Roman" w:cs="Times New Roman"/>
          <w:sz w:val="24"/>
          <w:szCs w:val="24"/>
        </w:rPr>
        <w:t>yield</w:t>
      </w:r>
      <w:r>
        <w:rPr>
          <w:rFonts w:hint="default" w:ascii="Times New Roman" w:hAnsi="Times New Roman" w:cs="Times New Roman"/>
          <w:sz w:val="24"/>
          <w:szCs w:val="24"/>
          <w:lang w:val="en-US"/>
        </w:rPr>
        <w:t>ing</w:t>
      </w:r>
      <w:r>
        <w:rPr>
          <w:rFonts w:hint="default" w:ascii="Times New Roman" w:hAnsi="Times New Roman" w:cs="Times New Roman"/>
          <w:sz w:val="24"/>
          <w:szCs w:val="24"/>
        </w:rPr>
        <w:t xml:space="preserve"> a total cohort of 80 ROX</w:t>
      </w:r>
      <w:r>
        <w:rPr>
          <w:rFonts w:hint="default" w:ascii="Times New Roman" w:hAnsi="Times New Roman" w:cs="Times New Roman"/>
          <w:sz w:val="24"/>
          <w:szCs w:val="24"/>
          <w:lang w:val="en-US"/>
        </w:rPr>
        <w:t>-</w:t>
      </w:r>
      <w:r>
        <w:rPr>
          <w:rFonts w:hint="default" w:ascii="Times New Roman" w:hAnsi="Times New Roman" w:cs="Times New Roman"/>
          <w:sz w:val="24"/>
          <w:szCs w:val="24"/>
        </w:rPr>
        <w:t>only wells and 40 MLPA test wells for evaluation, providing a robust dataset designed to evaluate instrument precision across distinct analytical sessions. In accordance with standard data verification protocols, individual electropherograms were evaluated within the Coffalyser.Net software environment (</w:t>
      </w:r>
      <w:r>
        <w:rPr>
          <w:rFonts w:hint="default" w:ascii="Times New Roman" w:hAnsi="Times New Roman" w:cs="Times New Roman"/>
          <w:sz w:val="24"/>
          <w:szCs w:val="24"/>
          <w:lang w:val="en-US"/>
        </w:rPr>
        <w:t>MRC-Holland</w:t>
      </w:r>
      <w:r>
        <w:rPr>
          <w:rFonts w:hint="default" w:ascii="Times New Roman" w:hAnsi="Times New Roman" w:cs="Times New Roman"/>
          <w:sz w:val="24"/>
          <w:szCs w:val="24"/>
        </w:rPr>
        <w:t>, Amsterdam, the Netherlands) to confirm optimal peak morphology and high-fidelity signal resolution. Target bin boundaries were verified across all channels using routine automated alignment adjustments to ensure optimal sizing accuracy across runs. All 80 ROX-only control wells and all 40 MLPA test wells successfully satisfied all instrument and assay quality thresholds. Because no reaction wells and no individual diagnostic probes required exclusion, the complete dataset of 120 baseline wells was fully retained, providi</w:t>
      </w:r>
      <w:r>
        <w:rPr>
          <w:rFonts w:hint="default" w:ascii="Times New Roman" w:hAnsi="Times New Roman" w:cs="Times New Roman"/>
          <w:sz w:val="24"/>
          <w:szCs w:val="24"/>
          <w:lang w:val="en-US"/>
        </w:rPr>
        <w:t>ng c</w:t>
      </w:r>
      <w:r>
        <w:rPr>
          <w:rFonts w:hint="default" w:ascii="Times New Roman" w:hAnsi="Times New Roman" w:cs="Times New Roman"/>
          <w:sz w:val="24"/>
          <w:szCs w:val="24"/>
        </w:rPr>
        <w:t>omprehensive foundation for downstream analytical validation.</w:t>
      </w:r>
      <w:r>
        <w:rPr>
          <w:rFonts w:hint="default" w:ascii="Times New Roman" w:hAnsi="Times New Roman" w:cs="Times New Roman"/>
          <w:sz w:val="24"/>
          <w:szCs w:val="24"/>
        </w:rPr>
        <w:tab/>
      </w:r>
    </w:p>
    <w:p>
      <w:pPr>
        <w:pStyle w:val="3"/>
        <w:numPr>
          <w:ilvl w:val="1"/>
          <w:numId w:val="6"/>
        </w:numPr>
        <w:jc w:val="both"/>
        <w:rPr>
          <w:rFonts w:hint="default" w:ascii="Times New Roman" w:hAnsi="Times New Roman" w:cs="Times New Roman"/>
          <w:b/>
          <w:color w:val="auto"/>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color w:val="auto"/>
          <w:sz w:val="24"/>
          <w:szCs w:val="24"/>
        </w:rPr>
        <w:t>Statistical and Computational Analysis</w:t>
      </w:r>
    </w:p>
    <w:p>
      <w:pPr>
        <w:pStyle w:val="22"/>
        <w:keepNext w:val="0"/>
        <w:keepLines w:val="0"/>
        <w:widowControl/>
        <w:suppressLineNumbers w:val="0"/>
        <w:spacing w:before="0" w:beforeAutospacing="0" w:line="360" w:lineRule="auto"/>
        <w:ind w:left="0" w:right="0"/>
        <w:jc w:val="both"/>
        <w:rPr>
          <w:rFonts w:hint="default" w:ascii="Times New Roman" w:hAnsi="Times New Roman" w:eastAsia="sans-serif" w:cs="Times New Roman"/>
        </w:rPr>
      </w:pPr>
      <w:r>
        <w:rPr>
          <w:rFonts w:hint="default" w:ascii="Times New Roman" w:hAnsi="Times New Roman" w:eastAsia="sans-serif" w:cs="Times New Roman"/>
        </w:rPr>
        <w:t xml:space="preserve">Capillary electrophoresis fragment data were initially processed using Coffalyser.Net software (MRC-Holland, Amsterdam, The Netherlands) for automated peak identification and fragment sizing. The raw fragment-list data were subsequently exported as standardized CSV files and uploaded to a Google Colab notebook environment running Python (v3.10) for statistical evaluation. Raw data file structures, required column headers, and sample metadata were systematically validated upon automated ingestion </w:t>
      </w:r>
      <w:r>
        <w:rPr>
          <w:rFonts w:hint="default" w:ascii="Times New Roman" w:hAnsi="Times New Roman" w:eastAsia="sans-serif" w:cs="Times New Roman"/>
          <w:b w:val="0"/>
          <w:bCs w:val="0"/>
        </w:rPr>
        <w:t>(Supplementary File S1)</w:t>
      </w:r>
      <w:r>
        <w:rPr>
          <w:rFonts w:hint="default" w:ascii="Times New Roman" w:hAnsi="Times New Roman" w:eastAsia="sans-serif" w:cs="Times New Roman"/>
        </w:rPr>
        <w:t>.</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 xml:space="preserve">Within this cloud-based computing environment, data ingestion, formatting, dynamic Limit of Detection (LoD) </w:t>
      </w:r>
      <w:r>
        <w:rPr>
          <w:rFonts w:hint="default" w:ascii="Times New Roman" w:hAnsi="Times New Roman" w:eastAsia="sans-serif" w:cs="Times New Roman"/>
          <w:sz w:val="24"/>
          <w:szCs w:val="24"/>
        </w:rPr>
        <w:t xml:space="preserve">thresholding, and advanced analytical calculations were executed by a suite of custom Python scripts </w:t>
      </w:r>
      <w:r>
        <w:rPr>
          <w:rFonts w:hint="default" w:ascii="Times New Roman" w:hAnsi="Times New Roman" w:eastAsia="sans-serif" w:cs="Times New Roman"/>
          <w:b w:val="0"/>
          <w:bCs w:val="0"/>
          <w:sz w:val="24"/>
          <w:szCs w:val="24"/>
        </w:rPr>
        <w:t>(Supplementary Files S1–S5)</w:t>
      </w:r>
      <w:r>
        <w:rPr>
          <w:rFonts w:hint="default" w:ascii="Times New Roman" w:hAnsi="Times New Roman" w:eastAsia="sans-serif" w:cs="Times New Roman"/>
          <w:sz w:val="24"/>
          <w:szCs w:val="24"/>
        </w:rPr>
        <w:t xml:space="preserve"> utilizing the </w:t>
      </w:r>
      <w:r>
        <w:rPr>
          <w:rStyle w:val="19"/>
          <w:rFonts w:hint="default" w:ascii="Times New Roman" w:hAnsi="Times New Roman" w:eastAsia="sans-serif" w:cs="Times New Roman"/>
          <w:sz w:val="24"/>
          <w:szCs w:val="24"/>
        </w:rPr>
        <w:t>pandas</w:t>
      </w:r>
      <w:r>
        <w:rPr>
          <w:rFonts w:hint="default" w:ascii="Times New Roman" w:hAnsi="Times New Roman" w:eastAsia="sans-serif" w:cs="Times New Roman"/>
          <w:sz w:val="24"/>
          <w:szCs w:val="24"/>
        </w:rPr>
        <w:t xml:space="preserve">, </w:t>
      </w:r>
      <w:r>
        <w:rPr>
          <w:rStyle w:val="19"/>
          <w:rFonts w:hint="default" w:ascii="Times New Roman" w:hAnsi="Times New Roman" w:eastAsia="sans-serif" w:cs="Times New Roman"/>
          <w:sz w:val="24"/>
          <w:szCs w:val="24"/>
        </w:rPr>
        <w:t>NumPy</w:t>
      </w:r>
      <w:r>
        <w:rPr>
          <w:rFonts w:hint="default" w:ascii="Times New Roman" w:hAnsi="Times New Roman" w:eastAsia="sans-serif" w:cs="Times New Roman"/>
          <w:sz w:val="24"/>
          <w:szCs w:val="24"/>
        </w:rPr>
        <w:t xml:space="preserve">, </w:t>
      </w:r>
      <w:r>
        <w:rPr>
          <w:rStyle w:val="19"/>
          <w:rFonts w:hint="default" w:ascii="Times New Roman" w:hAnsi="Times New Roman" w:eastAsia="sans-serif" w:cs="Times New Roman"/>
          <w:sz w:val="24"/>
          <w:szCs w:val="24"/>
        </w:rPr>
        <w:t>SciPy</w:t>
      </w:r>
      <w:r>
        <w:rPr>
          <w:rFonts w:hint="default" w:ascii="Times New Roman" w:hAnsi="Times New Roman" w:eastAsia="sans-serif" w:cs="Times New Roman"/>
          <w:sz w:val="24"/>
          <w:szCs w:val="24"/>
        </w:rPr>
        <w:t xml:space="preserve"> (</w:t>
      </w:r>
      <w:r>
        <w:rPr>
          <w:rStyle w:val="19"/>
          <w:rFonts w:hint="default" w:ascii="Times New Roman" w:hAnsi="Times New Roman" w:eastAsia="sans-serif" w:cs="Times New Roman"/>
          <w:sz w:val="24"/>
          <w:szCs w:val="24"/>
        </w:rPr>
        <w:t>scipy.stats</w:t>
      </w:r>
      <w:r>
        <w:rPr>
          <w:rFonts w:hint="default" w:ascii="Times New Roman" w:hAnsi="Times New Roman" w:eastAsia="sans-serif" w:cs="Times New Roman"/>
          <w:sz w:val="24"/>
          <w:szCs w:val="24"/>
        </w:rPr>
        <w:t xml:space="preserve">), </w:t>
      </w:r>
      <w:r>
        <w:rPr>
          <w:rStyle w:val="19"/>
          <w:rFonts w:hint="default" w:ascii="Times New Roman" w:hAnsi="Times New Roman" w:eastAsia="sans-serif" w:cs="Times New Roman"/>
          <w:sz w:val="24"/>
          <w:szCs w:val="24"/>
        </w:rPr>
        <w:t>statsmodels</w:t>
      </w:r>
      <w:r>
        <w:rPr>
          <w:rFonts w:hint="default" w:ascii="Times New Roman" w:hAnsi="Times New Roman" w:eastAsia="sans-serif" w:cs="Times New Roman"/>
          <w:sz w:val="24"/>
          <w:szCs w:val="24"/>
        </w:rPr>
        <w:t xml:space="preserve">, </w:t>
      </w:r>
      <w:r>
        <w:rPr>
          <w:rStyle w:val="19"/>
          <w:rFonts w:hint="default" w:ascii="Times New Roman" w:hAnsi="Times New Roman" w:eastAsia="sans-serif" w:cs="Times New Roman"/>
          <w:sz w:val="24"/>
          <w:szCs w:val="24"/>
        </w:rPr>
        <w:t>pingouin</w:t>
      </w:r>
      <w:r>
        <w:rPr>
          <w:rFonts w:hint="default" w:ascii="Times New Roman" w:hAnsi="Times New Roman" w:eastAsia="sans-serif" w:cs="Times New Roman"/>
          <w:sz w:val="24"/>
          <w:szCs w:val="24"/>
        </w:rPr>
        <w:t xml:space="preserve">, </w:t>
      </w:r>
      <w:r>
        <w:rPr>
          <w:rStyle w:val="19"/>
          <w:rFonts w:hint="default" w:ascii="Times New Roman" w:hAnsi="Times New Roman" w:eastAsia="sans-serif" w:cs="Times New Roman"/>
          <w:sz w:val="24"/>
          <w:szCs w:val="24"/>
        </w:rPr>
        <w:t>matplotlib</w:t>
      </w:r>
      <w:r>
        <w:rPr>
          <w:rFonts w:hint="default" w:ascii="Times New Roman" w:hAnsi="Times New Roman" w:eastAsia="sans-serif" w:cs="Times New Roman"/>
          <w:sz w:val="24"/>
          <w:szCs w:val="24"/>
        </w:rPr>
        <w:t xml:space="preserve">, and </w:t>
      </w:r>
      <w:r>
        <w:rPr>
          <w:rStyle w:val="19"/>
          <w:rFonts w:hint="default" w:ascii="Times New Roman" w:hAnsi="Times New Roman" w:eastAsia="sans-serif" w:cs="Times New Roman"/>
          <w:sz w:val="24"/>
          <w:szCs w:val="24"/>
        </w:rPr>
        <w:t>seaborn</w:t>
      </w:r>
      <w:r>
        <w:rPr>
          <w:rFonts w:hint="default" w:ascii="Times New Roman" w:hAnsi="Times New Roman" w:eastAsia="sans-serif" w:cs="Times New Roman"/>
          <w:sz w:val="24"/>
          <w:szCs w:val="24"/>
        </w:rPr>
        <w:t xml:space="preserve"> packages.</w:t>
      </w:r>
    </w:p>
    <w:p>
      <w:pPr>
        <w:spacing w:line="360" w:lineRule="auto"/>
        <w:jc w:val="both"/>
        <w:rPr>
          <w:rFonts w:hint="default" w:ascii="Times New Roman" w:hAnsi="Times New Roman" w:cs="Times New Roman"/>
          <w:sz w:val="24"/>
          <w:szCs w:val="24"/>
        </w:rPr>
      </w:pP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Precision, Linearity, and Bias</w:t>
      </w:r>
    </w:p>
    <w:p>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Sizing accuracy was evaluated using the Mean Absolute Percentage Error (MAPE) </w:t>
      </w:r>
      <w:r>
        <w:rPr>
          <w:rFonts w:hint="default" w:ascii="Times New Roman" w:hAnsi="Times New Roman" w:eastAsia="SimSun" w:cs="Times New Roman"/>
          <w:b w:val="0"/>
          <w:bCs w:val="0"/>
          <w:sz w:val="24"/>
          <w:szCs w:val="24"/>
        </w:rPr>
        <w:t>(</w:t>
      </w:r>
      <w:r>
        <w:rPr>
          <w:rFonts w:hint="default" w:ascii="Times New Roman" w:hAnsi="Times New Roman" w:eastAsia="sans-serif" w:cs="Times New Roman"/>
          <w:b w:val="0"/>
          <w:bCs w:val="0"/>
          <w:sz w:val="24"/>
          <w:szCs w:val="24"/>
        </w:rPr>
        <w:t>Supplementary File S2</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Systematic sizing bias (</w:t>
      </w:r>
      <w:r>
        <w:rPr>
          <w:rFonts w:hint="default" w:ascii="Times New Roman" w:hAnsi="Times New Roman" w:eastAsia="sans-serif" w:cs="Times New Roman"/>
          <w:sz w:val="24"/>
          <w:szCs w:val="24"/>
        </w:rPr>
        <w:t>Observed</w:t>
      </w: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Nominal</w:t>
      </w:r>
      <w:r>
        <w:rPr>
          <w:rFonts w:hint="default" w:ascii="Times New Roman" w:hAnsi="Times New Roman" w:eastAsia="SimSun" w:cs="Times New Roman"/>
          <w:sz w:val="24"/>
          <w:szCs w:val="24"/>
        </w:rPr>
        <w:t xml:space="preserve">) was evaluated using a one-sample </w:t>
      </w:r>
      <w:r>
        <w:rPr>
          <w:rFonts w:hint="default" w:ascii="Times New Roman" w:hAnsi="Times New Roman" w:eastAsia="sans-serif" w:cs="Times New Roman"/>
          <w:sz w:val="24"/>
          <w:szCs w:val="24"/>
        </w:rPr>
        <w:t>t</w:t>
      </w:r>
      <w:r>
        <w:rPr>
          <w:rFonts w:hint="default" w:ascii="Times New Roman" w:hAnsi="Times New Roman" w:eastAsia="SimSun" w:cs="Times New Roman"/>
          <w:sz w:val="24"/>
          <w:szCs w:val="24"/>
        </w:rPr>
        <w:t>-test, with 95% confidence intervals (CIs) computed to assess deviation from zero. Proportional linearity was assessed using Ordinary Least Squares (OLS) regression of per-fragment mean observed sizes against nominal sizes across lower (</w:t>
      </w:r>
      <w:r>
        <w:rPr>
          <w:rFonts w:hint="default" w:ascii="Times New Roman" w:hAnsi="Times New Roman" w:eastAsia="sans-serif" w:cs="Times New Roman"/>
          <w:sz w:val="24"/>
          <w:szCs w:val="24"/>
        </w:rPr>
        <w:t>58</w:t>
      </w: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126</w:t>
      </w:r>
      <w:r>
        <w:rPr>
          <w:rFonts w:hint="default" w:ascii="Times New Roman" w:hAnsi="Times New Roman" w:eastAsia="sans-serif" w:cs="Times New Roman"/>
          <w:sz w:val="24"/>
          <w:szCs w:val="24"/>
          <w:lang w:val="en-US"/>
        </w:rPr>
        <w:t xml:space="preserve"> </w:t>
      </w:r>
      <w:r>
        <w:rPr>
          <w:rFonts w:hint="default" w:ascii="Times New Roman" w:hAnsi="Times New Roman" w:eastAsia="sans-serif" w:cs="Times New Roman"/>
          <w:sz w:val="24"/>
          <w:szCs w:val="24"/>
        </w:rPr>
        <w:t>nt</w:t>
      </w:r>
      <w:r>
        <w:rPr>
          <w:rFonts w:hint="default" w:ascii="Times New Roman" w:hAnsi="Times New Roman" w:eastAsia="SimSun" w:cs="Times New Roman"/>
          <w:sz w:val="24"/>
          <w:szCs w:val="24"/>
        </w:rPr>
        <w:t>) and upper (</w:t>
      </w:r>
      <w:r>
        <w:rPr>
          <w:rFonts w:hint="default" w:ascii="Times New Roman" w:hAnsi="Times New Roman" w:eastAsia="sans-serif" w:cs="Times New Roman"/>
          <w:sz w:val="24"/>
          <w:szCs w:val="24"/>
        </w:rPr>
        <w:t>200</w:t>
      </w:r>
      <w:r>
        <w:rPr>
          <w:rFonts w:hint="default" w:ascii="Times New Roman" w:hAnsi="Times New Roman" w:eastAsia="sans-serif" w:cs="Times New Roman"/>
          <w:sz w:val="24"/>
          <w:szCs w:val="24"/>
          <w:lang w:val="en-US"/>
        </w:rPr>
        <w:t>-</w:t>
      </w:r>
      <w:r>
        <w:rPr>
          <w:rFonts w:hint="default" w:ascii="Times New Roman" w:hAnsi="Times New Roman" w:eastAsia="sans-serif" w:cs="Times New Roman"/>
          <w:sz w:val="24"/>
          <w:szCs w:val="24"/>
        </w:rPr>
        <w:t>410 nt</w:t>
      </w:r>
      <w:r>
        <w:rPr>
          <w:rFonts w:hint="default" w:ascii="Times New Roman" w:hAnsi="Times New Roman" w:eastAsia="SimSun" w:cs="Times New Roman"/>
          <w:sz w:val="24"/>
          <w:szCs w:val="24"/>
        </w:rPr>
        <w:t xml:space="preserve">) sizing domains </w:t>
      </w:r>
      <w:r>
        <w:rPr>
          <w:rFonts w:hint="default" w:ascii="Times New Roman" w:hAnsi="Times New Roman" w:eastAsia="SimSun" w:cs="Times New Roman"/>
          <w:b w:val="0"/>
          <w:bCs w:val="0"/>
          <w:sz w:val="24"/>
          <w:szCs w:val="24"/>
        </w:rPr>
        <w:t>(</w:t>
      </w:r>
      <w:r>
        <w:rPr>
          <w:rFonts w:hint="default" w:ascii="Times New Roman" w:hAnsi="Times New Roman" w:eastAsia="sans-serif" w:cs="Times New Roman"/>
          <w:b w:val="0"/>
          <w:bCs w:val="0"/>
          <w:sz w:val="24"/>
          <w:szCs w:val="24"/>
        </w:rPr>
        <w:t>Supplementary File S2</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The 95% CI of the slope and the coefficient of determination (</w:t>
      </w:r>
      <w:r>
        <w:rPr>
          <w:rFonts w:hint="default" w:ascii="Times New Roman" w:hAnsi="Times New Roman" w:eastAsia="sans-serif" w:cs="Times New Roman"/>
          <w:sz w:val="24"/>
          <w:szCs w:val="24"/>
        </w:rPr>
        <w:t>R</w:t>
      </w:r>
      <w:r>
        <w:rPr>
          <w:rFonts w:hint="default" w:ascii="Times New Roman" w:hAnsi="Times New Roman" w:eastAsia="sans-serif" w:cs="Times New Roman"/>
          <w:sz w:val="24"/>
          <w:szCs w:val="24"/>
          <w:vertAlign w:val="superscript"/>
        </w:rPr>
        <w:t>2</w:t>
      </w:r>
      <w:r>
        <w:rPr>
          <w:rFonts w:hint="default" w:ascii="Times New Roman" w:hAnsi="Times New Roman" w:eastAsia="SimSun" w:cs="Times New Roman"/>
          <w:sz w:val="24"/>
          <w:szCs w:val="24"/>
        </w:rPr>
        <w:t>) were calculated to characterize proportional bias and domain linearity.</w:t>
      </w: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Agreement and Total Error</w:t>
      </w:r>
    </w:p>
    <w:p>
      <w:pPr>
        <w:pStyle w:val="22"/>
        <w:keepNext w:val="0"/>
        <w:keepLines w:val="0"/>
        <w:widowControl/>
        <w:suppressLineNumbers w:val="0"/>
        <w:spacing w:before="0" w:beforeAutospacing="0" w:line="360" w:lineRule="auto"/>
        <w:ind w:left="0" w:right="0"/>
        <w:jc w:val="both"/>
        <w:rPr>
          <w:rFonts w:hint="default" w:ascii="Times New Roman" w:hAnsi="Times New Roman" w:eastAsia="sans-serif" w:cs="Times New Roman"/>
        </w:rPr>
      </w:pPr>
      <w:r>
        <w:rPr>
          <w:rFonts w:hint="default" w:ascii="Times New Roman" w:hAnsi="Times New Roman" w:eastAsia="sans-serif" w:cs="Times New Roman"/>
        </w:rPr>
        <w:t>Method agreement and systematic deviations were evaluated across sizing and dosage domains using Bland</w:t>
      </w:r>
      <w:r>
        <w:rPr>
          <w:rFonts w:hint="default" w:ascii="Times New Roman" w:hAnsi="Times New Roman" w:eastAsia="sans-serif" w:cs="Times New Roman"/>
          <w:lang w:val="en-US"/>
        </w:rPr>
        <w:t>-</w:t>
      </w:r>
      <w:r>
        <w:rPr>
          <w:rFonts w:hint="default" w:ascii="Times New Roman" w:hAnsi="Times New Roman" w:eastAsia="sans-serif" w:cs="Times New Roman"/>
        </w:rPr>
        <w:t>Altman difference analysis</w:t>
      </w:r>
      <w:r>
        <w:rPr>
          <w:rFonts w:hint="default" w:ascii="Times New Roman" w:hAnsi="Times New Roman" w:eastAsia="sans-serif" w:cs="Times New Roman"/>
          <w:b w:val="0"/>
          <w:bCs w:val="0"/>
        </w:rPr>
        <w:t xml:space="preserve"> (Supplementary Files S3 and S4)</w:t>
      </w:r>
      <w:r>
        <w:rPr>
          <w:rFonts w:hint="default" w:ascii="Times New Roman" w:hAnsi="Times New Roman" w:eastAsia="sans-serif" w:cs="Times New Roman"/>
        </w:rPr>
        <w:t>. For each dataset,  the mean bias, its 95% confidence interval, and the corresponding limits of agreement (LoA=mean</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±1.96s)</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we</w:t>
      </w:r>
      <w:r>
        <w:rPr>
          <w:rFonts w:hint="default" w:ascii="Times New Roman" w:hAnsi="Times New Roman" w:eastAsia="sans-serif" w:cs="Times New Roman"/>
          <w:lang w:val="en-US"/>
        </w:rPr>
        <w:t>re</w:t>
      </w:r>
      <w:r>
        <w:rPr>
          <w:rFonts w:hint="default" w:ascii="Times New Roman" w:hAnsi="Times New Roman" w:eastAsia="sans-serif" w:cs="Times New Roman"/>
        </w:rPr>
        <w:t xml:space="preserve"> derived. To check whether measurement errors scaled with amplicon size or signal magnitude, potential proportional bias was evaluated by regressing pairwise differences against pairwise means.</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To capture the combined impact of systematic bias and random imprecision, overall measurement uncertainty was modeled using the Total Error (TE) framework in accordance with CLSI EP21-Ed3 (2025) guidelines</w:t>
      </w:r>
      <w:r>
        <w:rPr>
          <w:rFonts w:hint="default" w:ascii="Times New Roman" w:hAnsi="Times New Roman" w:eastAsia="sans-serif" w:cs="Times New Roman"/>
          <w:lang w:val="en-US"/>
        </w:rPr>
        <w:t xml:space="preserve"> according to the following formula</w:t>
      </w:r>
      <w:r>
        <w:rPr>
          <w:rFonts w:hint="default" w:ascii="Times New Roman" w:hAnsi="Times New Roman" w:eastAsia="sans-serif" w:cs="Times New Roman"/>
        </w:rPr>
        <w:t>:</w:t>
      </w:r>
    </w:p>
    <w:p>
      <w:pPr>
        <w:keepNext w:val="0"/>
        <w:keepLines w:val="0"/>
        <w:widowControl/>
        <w:suppressLineNumbers w:val="0"/>
        <w:spacing w:before="0" w:beforeAutospacing="0" w:line="360" w:lineRule="auto"/>
        <w:ind w:left="0" w:right="0"/>
        <w:jc w:val="both"/>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14:ligatures w14:val="standardContextual"/>
        </w:rPr>
        <w:t>TE = Bias + 1.65s</w:t>
      </w:r>
    </w:p>
    <w:p>
      <w:pPr>
        <w:pStyle w:val="22"/>
        <w:keepNext w:val="0"/>
        <w:keepLines w:val="0"/>
        <w:widowControl/>
        <w:suppressLineNumbers w:val="0"/>
        <w:spacing w:before="0" w:beforeAutospacing="0" w:line="360" w:lineRule="auto"/>
        <w:ind w:left="0" w:right="0"/>
        <w:jc w:val="both"/>
        <w:rPr>
          <w:rFonts w:hint="default" w:ascii="Times New Roman" w:hAnsi="Times New Roman" w:cs="Times New Roman"/>
          <w:sz w:val="24"/>
          <w:szCs w:val="24"/>
        </w:rPr>
      </w:pPr>
      <w:r>
        <w:rPr>
          <w:rFonts w:hint="default" w:ascii="Times New Roman" w:hAnsi="Times New Roman" w:eastAsia="sans-serif" w:cs="Times New Roman"/>
        </w:rPr>
        <w:t xml:space="preserve">where s represents the sample standard deviation </w:t>
      </w:r>
      <w:r>
        <w:rPr>
          <w:rFonts w:hint="default" w:ascii="Times New Roman" w:hAnsi="Times New Roman" w:eastAsia="sans-serif" w:cs="Times New Roman"/>
          <w:b w:val="0"/>
          <w:bCs w:val="0"/>
        </w:rPr>
        <w:t>(Supplementary Files S3 and S4)</w:t>
      </w:r>
      <w:r>
        <w:rPr>
          <w:rFonts w:hint="default" w:ascii="Times New Roman" w:hAnsi="Times New Roman" w:eastAsia="sans-serif" w:cs="Times New Roman"/>
        </w:rPr>
        <w:t>. Assay performance was confirmed to be analytically acceptable if the calculated</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TE</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 xml:space="preserve">estimates remained </w:t>
      </w:r>
      <w:r>
        <w:rPr>
          <w:rFonts w:hint="default" w:ascii="Times New Roman" w:hAnsi="Times New Roman" w:eastAsia="sans-serif" w:cs="Times New Roman"/>
          <w:lang w:val="en-US"/>
        </w:rPr>
        <w:t>reasonably</w:t>
      </w:r>
      <w:r>
        <w:rPr>
          <w:rFonts w:hint="default" w:ascii="Times New Roman" w:hAnsi="Times New Roman" w:eastAsia="sans-serif" w:cs="Times New Roman"/>
        </w:rPr>
        <w:t xml:space="preserve"> within predefined allowable error thresholds (TE</w:t>
      </w:r>
      <w:r>
        <w:rPr>
          <w:rFonts w:hint="default" w:ascii="Times New Roman" w:hAnsi="Times New Roman" w:eastAsia="sans-serif" w:cs="Times New Roman"/>
          <w:lang w:val="en-US"/>
        </w:rPr>
        <w:t>_</w:t>
      </w:r>
      <w:r>
        <w:rPr>
          <w:rFonts w:hint="default" w:ascii="Times New Roman" w:hAnsi="Times New Roman" w:eastAsia="sans-serif" w:cs="Times New Roman"/>
        </w:rPr>
        <w:t>a=1.0</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nt</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for fragment sizing; TE_a = ± 0.20</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for probe dosage ratios).</w:t>
      </w:r>
    </w:p>
    <w:p>
      <w:pPr>
        <w:pStyle w:val="49"/>
        <w:numPr>
          <w:ilvl w:val="2"/>
          <w:numId w:val="6"/>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Reproducibility and Variance Decomposition</w:t>
      </w:r>
    </w:p>
    <w:p>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Intermediate precision and reproducibility were evaluated in accordance with CLSI EP05-Ed4 guidelines </w:t>
      </w:r>
      <w:r>
        <w:rPr>
          <w:rFonts w:hint="default" w:ascii="Times New Roman" w:hAnsi="Times New Roman" w:eastAsia="SimSun" w:cs="Times New Roman"/>
          <w:b w:val="0"/>
          <w:bCs w:val="0"/>
          <w:sz w:val="24"/>
          <w:szCs w:val="24"/>
        </w:rPr>
        <w:t>(Supplementary Files S2 and S4)</w:t>
      </w:r>
      <w:r>
        <w:rPr>
          <w:rFonts w:hint="default" w:ascii="Times New Roman" w:hAnsi="Times New Roman" w:eastAsia="SimSun" w:cs="Times New Roman"/>
          <w:sz w:val="24"/>
          <w:szCs w:val="24"/>
        </w:rPr>
        <w:t xml:space="preserve">. </w:t>
      </w:r>
    </w:p>
    <w:p>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Total variance was partitioned into between-run, between-probe, and residual (within-run repeatability) components using a variance components ANOVA framework (</w:t>
      </w:r>
      <w:r>
        <w:rPr>
          <w:rStyle w:val="19"/>
          <w:rFonts w:hint="default" w:ascii="Times New Roman" w:hAnsi="Times New Roman" w:eastAsia="SimSun" w:cs="Times New Roman"/>
          <w:sz w:val="24"/>
          <w:szCs w:val="24"/>
        </w:rPr>
        <w:t>statsmodels</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To quantify measurement agreement and reliability for fragment sizing and probe dosage ratios across sequential runs, Intraclass Correlation Coefficients (ICC) were calculated using a two-way mixed-effects model for absolute agreement (</w:t>
      </w:r>
      <w:r>
        <w:rPr>
          <w:rStyle w:val="19"/>
          <w:rFonts w:hint="default" w:ascii="Times New Roman" w:hAnsi="Times New Roman" w:eastAsia="SimSun" w:cs="Times New Roman"/>
          <w:sz w:val="24"/>
          <w:szCs w:val="24"/>
        </w:rPr>
        <w:t>pingouin</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rPr>
        <w:t>.</w:t>
      </w:r>
    </w:p>
    <w:p>
      <w:pPr>
        <w:pStyle w:val="49"/>
        <w:numPr>
          <w:ilvl w:val="2"/>
          <w:numId w:val="6"/>
        </w:num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Non-Parametric and Correlation Analyses</w:t>
      </w:r>
    </w:p>
    <w:p>
      <w:pPr>
        <w:spacing w:line="36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To evaluate analytical parameters without relying on rigid distributional assumptions, non-parametric bootstrap resampling (1,000 iterations) was implemented using </w:t>
      </w:r>
      <w:r>
        <w:rPr>
          <w:rStyle w:val="19"/>
          <w:rFonts w:hint="default" w:ascii="Times New Roman" w:hAnsi="Times New Roman" w:eastAsia="sans-serif" w:cs="Times New Roman"/>
          <w:sz w:val="24"/>
          <w:szCs w:val="24"/>
        </w:rPr>
        <w:t>NumPy</w:t>
      </w:r>
      <w:r>
        <w:rPr>
          <w:rFonts w:hint="default" w:ascii="Times New Roman" w:hAnsi="Times New Roman" w:eastAsia="SimSun" w:cs="Times New Roman"/>
          <w:sz w:val="24"/>
          <w:szCs w:val="24"/>
        </w:rPr>
        <w:t xml:space="preserve"> and </w:t>
      </w:r>
      <w:r>
        <w:rPr>
          <w:rStyle w:val="19"/>
          <w:rFonts w:hint="default" w:ascii="Times New Roman" w:hAnsi="Times New Roman" w:eastAsia="sans-serif" w:cs="Times New Roman"/>
          <w:sz w:val="24"/>
          <w:szCs w:val="24"/>
        </w:rPr>
        <w:t>scipy.stats</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val="0"/>
          <w:bCs w:val="0"/>
          <w:sz w:val="24"/>
          <w:szCs w:val="24"/>
        </w:rPr>
        <w:t>(</w:t>
      </w:r>
      <w:r>
        <w:rPr>
          <w:rFonts w:hint="default" w:ascii="Times New Roman" w:hAnsi="Times New Roman" w:eastAsia="sans-serif" w:cs="Times New Roman"/>
          <w:b w:val="0"/>
          <w:bCs w:val="0"/>
          <w:sz w:val="24"/>
          <w:szCs w:val="24"/>
        </w:rPr>
        <w:t>Supplementary Files S2 and S5</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xml:space="preserve">. This resampling framework was deployed to establish empirical 95% confidence intervals for sizing precision </w:t>
      </w:r>
      <w:r>
        <w:rPr>
          <w:rFonts w:hint="default" w:ascii="Times New Roman" w:hAnsi="Times New Roman" w:eastAsia="SimSun" w:cs="Times New Roman"/>
          <w:b w:val="0"/>
          <w:bCs w:val="0"/>
          <w:sz w:val="24"/>
          <w:szCs w:val="24"/>
        </w:rPr>
        <w:t>(</w:t>
      </w:r>
      <w:r>
        <w:rPr>
          <w:rFonts w:hint="default" w:ascii="Times New Roman" w:hAnsi="Times New Roman" w:eastAsia="sans-serif" w:cs="Times New Roman"/>
          <w:b w:val="0"/>
          <w:bCs w:val="0"/>
          <w:sz w:val="24"/>
          <w:szCs w:val="24"/>
        </w:rPr>
        <w:t>Supplementary File S2</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xml:space="preserve"> as well as optical baseline noise, including the Limit of Blank (</w:t>
      </w:r>
      <w:r>
        <w:rPr>
          <w:rFonts w:hint="default" w:ascii="Times New Roman" w:hAnsi="Times New Roman" w:eastAsia="sans-serif" w:cs="Times New Roman"/>
          <w:sz w:val="24"/>
          <w:szCs w:val="24"/>
        </w:rPr>
        <w:t>LoB</w:t>
      </w:r>
      <w:r>
        <w:rPr>
          <w:rFonts w:hint="default" w:ascii="Times New Roman" w:hAnsi="Times New Roman" w:eastAsia="SimSun" w:cs="Times New Roman"/>
          <w:sz w:val="24"/>
          <w:szCs w:val="24"/>
        </w:rPr>
        <w:t>) and Limit of Detection (</w:t>
      </w:r>
      <w:r>
        <w:rPr>
          <w:rFonts w:hint="default" w:ascii="Times New Roman" w:hAnsi="Times New Roman" w:eastAsia="sans-serif" w:cs="Times New Roman"/>
          <w:sz w:val="24"/>
          <w:szCs w:val="24"/>
        </w:rPr>
        <w:t>LoD</w:t>
      </w:r>
      <w:r>
        <w:rPr>
          <w:rFonts w:hint="default" w:ascii="Times New Roman" w:hAnsi="Times New Roman" w:eastAsia="SimSun" w:cs="Times New Roman"/>
          <w:sz w:val="24"/>
          <w:szCs w:val="24"/>
        </w:rPr>
        <w:t xml:space="preserve">) </w:t>
      </w:r>
      <w:r>
        <w:rPr>
          <w:rFonts w:hint="default" w:ascii="Times New Roman" w:hAnsi="Times New Roman" w:eastAsia="SimSun" w:cs="Times New Roman"/>
          <w:b w:val="0"/>
          <w:bCs w:val="0"/>
          <w:sz w:val="24"/>
          <w:szCs w:val="24"/>
        </w:rPr>
        <w:t>(</w:t>
      </w:r>
      <w:r>
        <w:rPr>
          <w:rFonts w:hint="default" w:ascii="Times New Roman" w:hAnsi="Times New Roman" w:eastAsia="sans-serif" w:cs="Times New Roman"/>
          <w:b w:val="0"/>
          <w:bCs w:val="0"/>
          <w:sz w:val="24"/>
          <w:szCs w:val="24"/>
        </w:rPr>
        <w:t>Supplementary File S5</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 Pearson correlation coefficients (</w:t>
      </w:r>
      <w:r>
        <w:rPr>
          <w:rFonts w:hint="default" w:ascii="Times New Roman" w:hAnsi="Times New Roman" w:eastAsia="sans-serif" w:cs="Times New Roman"/>
          <w:sz w:val="24"/>
          <w:szCs w:val="24"/>
        </w:rPr>
        <w:t>r</w:t>
      </w:r>
      <w:r>
        <w:rPr>
          <w:rFonts w:hint="default" w:ascii="Times New Roman" w:hAnsi="Times New Roman" w:eastAsia="SimSun" w:cs="Times New Roman"/>
          <w:sz w:val="24"/>
          <w:szCs w:val="24"/>
        </w:rPr>
        <w:t xml:space="preserve">) were computed to evaluate signal relationships between nominal amplicon length, peak fluorescence intensity (RFU), and multi-channel spectral crosstalk. Finally, automated rendering of publication-quality vector figures and structured summary tables was executed across all computational modules </w:t>
      </w:r>
      <w:r>
        <w:rPr>
          <w:rFonts w:hint="default" w:ascii="Times New Roman" w:hAnsi="Times New Roman" w:eastAsia="SimSun" w:cs="Times New Roman"/>
          <w:b w:val="0"/>
          <w:bCs w:val="0"/>
          <w:sz w:val="24"/>
          <w:szCs w:val="24"/>
        </w:rPr>
        <w:t>(</w:t>
      </w:r>
      <w:r>
        <w:rPr>
          <w:rFonts w:hint="default" w:ascii="Times New Roman" w:hAnsi="Times New Roman" w:eastAsia="sans-serif" w:cs="Times New Roman"/>
          <w:b w:val="0"/>
          <w:bCs w:val="0"/>
          <w:sz w:val="24"/>
          <w:szCs w:val="24"/>
        </w:rPr>
        <w:t>Supplementary Files S1–S5</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sz w:val="24"/>
          <w:szCs w:val="24"/>
        </w:rPr>
        <w:t>.</w:t>
      </w:r>
    </w:p>
    <w:p>
      <w:pPr>
        <w:pStyle w:val="49"/>
        <w:numPr>
          <w:ilvl w:val="0"/>
          <w:numId w:val="6"/>
        </w:numPr>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Results</w:t>
      </w: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Empirical Quantification of Electrophoretic Shifts and Manual Bin Optimization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dye repurposing study evaluated the sizing accuracy of P095-Aneuploidy MLPA fragments when measured against the MRC-550 ROX size standard (</w:t>
      </w:r>
      <w:r>
        <w:rPr>
          <w:rFonts w:hint="default" w:ascii="Times New Roman" w:hAnsi="Times New Roman" w:cs="Times New Roman"/>
          <w:sz w:val="24"/>
          <w:szCs w:val="24"/>
          <w:lang w:val="en-US"/>
        </w:rPr>
        <w:t>MIC-Holland</w:t>
      </w:r>
      <w:r>
        <w:rPr>
          <w:rFonts w:hint="default" w:ascii="Times New Roman" w:hAnsi="Times New Roman" w:cs="Times New Roman"/>
          <w:sz w:val="24"/>
          <w:szCs w:val="24"/>
        </w:rPr>
        <w:t xml:space="preserve">, Amsterdam, the Netherlands) under a spectral calibration established by the DS-36 (J6) matrix standard. After applying the quality control steps described in Section 2.6, data from all 44 uniquely named fragments were evaluated: 9 QC fragments (64–105 nt) per the product description (8 formally assigned in this dataset; the Y-105 QC fragment was not bin-assigned in the active template but was noted as an unassigned peak at ~105.5 nt exclusively in the 25 MLPA wells from male donors) and 36 chromosomal target probes (32 autosomal/X-linked present in all 40 MLPA wells; 4 Y-specific probes present in the 25 MLPA wells from male donors). All fragments were detected; none were excluded.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analysis utilized results from 40 MLPA test wells across five independent fragment analysis runs. Of the 44 fragments evaluated (8 QC/control + 36 target), 38 (86.4%) exhibited clear shifts in electrophoretic size compared to the manufacturer's expected bin positions.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There was a noticeable trend linked to fragment size: fragments shorter than 100 nt generally shifted downwards (mean −0.58 ± 1.07 nt), while those over 300 nt mostly shifted upwards (mean +1.62 ± 1.38 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Looking closely at the 36 target probes, 31 (86.1%) showed consistent peak positions outside their manufacturer default bin boundaries and needed bin adjustments. The other 5 target probes (13.9%) stayed within their default manufacturer boundaries and needed no manual bin adjustments. Importantly, all 36 target probes passed quality control and were fully included in the mobility analysis. This ensured a complete and reliable diagnostic multiplex dataset. Table 7 shows representative electrophoretic shifts for selected fragments.</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Table7. Representative Electrophoretic Shifts for P095 Probe Mix Fragments (see Supplementary Table S2 for complete dataset)</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Fragment ID     Type   Chr  Manufacturer Bin (nt) Mean Observed Size (nt) Mean Shift (nt) SD (nt) n Bin Adjusted?</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Q-76 (DNA)     QC     –</w:t>
      </w:r>
      <w:r>
        <w:rPr>
          <w:rFonts w:hint="default" w:ascii="Times New Roman" w:hAnsi="Times New Roman" w:cs="Times New Roman"/>
          <w:sz w:val="20"/>
          <w:szCs w:val="20"/>
        </w:rPr>
        <w:tab/>
      </w:r>
      <w:r>
        <w:rPr>
          <w:rFonts w:hint="default" w:ascii="Times New Roman" w:hAnsi="Times New Roman" w:cs="Times New Roman"/>
          <w:sz w:val="20"/>
          <w:szCs w:val="20"/>
        </w:rPr>
        <w:t xml:space="preserve">        76</w:t>
      </w:r>
      <w:r>
        <w:rPr>
          <w:rFonts w:hint="default" w:ascii="Times New Roman" w:hAnsi="Times New Roman" w:cs="Times New Roman"/>
          <w:sz w:val="20"/>
          <w:szCs w:val="20"/>
        </w:rPr>
        <w:tab/>
      </w:r>
      <w:r>
        <w:rPr>
          <w:rFonts w:hint="default" w:ascii="Times New Roman" w:hAnsi="Times New Roman" w:cs="Times New Roman"/>
          <w:sz w:val="20"/>
          <w:szCs w:val="20"/>
        </w:rPr>
        <w:t xml:space="preserve">                             73.93</w:t>
      </w:r>
      <w:r>
        <w:rPr>
          <w:rFonts w:hint="default" w:ascii="Times New Roman" w:hAnsi="Times New Roman" w:cs="Times New Roman"/>
          <w:sz w:val="20"/>
          <w:szCs w:val="20"/>
        </w:rPr>
        <w:tab/>
      </w:r>
      <w:r>
        <w:rPr>
          <w:rFonts w:hint="default" w:ascii="Times New Roman" w:hAnsi="Times New Roman" w:cs="Times New Roman"/>
          <w:sz w:val="20"/>
          <w:szCs w:val="20"/>
        </w:rPr>
        <w:t xml:space="preserve">                       −2.073           1.003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30</w:t>
      </w:r>
      <w:r>
        <w:rPr>
          <w:rFonts w:hint="default" w:ascii="Times New Roman" w:hAnsi="Times New Roman" w:cs="Times New Roman"/>
          <w:sz w:val="20"/>
          <w:szCs w:val="20"/>
        </w:rPr>
        <w:tab/>
      </w:r>
      <w:r>
        <w:rPr>
          <w:rFonts w:hint="default" w:ascii="Times New Roman" w:hAnsi="Times New Roman" w:cs="Times New Roman"/>
          <w:sz w:val="20"/>
          <w:szCs w:val="20"/>
        </w:rPr>
        <w:t xml:space="preserve">  Yes</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AMOT-4 (XC)  QC    X</w:t>
      </w:r>
      <w:r>
        <w:rPr>
          <w:rFonts w:hint="default" w:ascii="Times New Roman" w:hAnsi="Times New Roman" w:cs="Times New Roman"/>
          <w:sz w:val="20"/>
          <w:szCs w:val="20"/>
        </w:rPr>
        <w:tab/>
      </w:r>
      <w:r>
        <w:rPr>
          <w:rFonts w:hint="default" w:ascii="Times New Roman" w:hAnsi="Times New Roman" w:cs="Times New Roman"/>
          <w:sz w:val="20"/>
          <w:szCs w:val="20"/>
        </w:rPr>
        <w:t xml:space="preserve">        100</w:t>
      </w:r>
      <w:r>
        <w:rPr>
          <w:rFonts w:hint="default" w:ascii="Times New Roman" w:hAnsi="Times New Roman" w:cs="Times New Roman"/>
          <w:sz w:val="20"/>
          <w:szCs w:val="20"/>
        </w:rPr>
        <w:tab/>
      </w:r>
      <w:r>
        <w:rPr>
          <w:rFonts w:hint="default" w:ascii="Times New Roman" w:hAnsi="Times New Roman" w:cs="Times New Roman"/>
          <w:sz w:val="20"/>
          <w:szCs w:val="20"/>
        </w:rPr>
        <w:t xml:space="preserve">                             100.80</w:t>
      </w:r>
      <w:r>
        <w:rPr>
          <w:rFonts w:hint="default" w:ascii="Times New Roman" w:hAnsi="Times New Roman" w:cs="Times New Roman"/>
          <w:sz w:val="20"/>
          <w:szCs w:val="20"/>
        </w:rPr>
        <w:tab/>
      </w:r>
      <w:r>
        <w:rPr>
          <w:rFonts w:hint="default" w:ascii="Times New Roman" w:hAnsi="Times New Roman" w:cs="Times New Roman"/>
          <w:sz w:val="20"/>
          <w:szCs w:val="20"/>
        </w:rPr>
        <w:t xml:space="preserve">                       +0.804           0.054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40</w:t>
      </w:r>
      <w:r>
        <w:rPr>
          <w:rFonts w:hint="default" w:ascii="Times New Roman" w:hAnsi="Times New Roman" w:cs="Times New Roman"/>
          <w:sz w:val="20"/>
          <w:szCs w:val="20"/>
        </w:rPr>
        <w:tab/>
      </w:r>
      <w:r>
        <w:rPr>
          <w:rFonts w:hint="default" w:ascii="Times New Roman" w:hAnsi="Times New Roman" w:cs="Times New Roman"/>
          <w:sz w:val="20"/>
          <w:szCs w:val="20"/>
        </w:rPr>
        <w:t xml:space="preserve">  Yes</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Y-105†</w:t>
      </w:r>
      <w:r>
        <w:rPr>
          <w:rFonts w:hint="default" w:ascii="Times New Roman" w:hAnsi="Times New Roman" w:cs="Times New Roman"/>
          <w:sz w:val="20"/>
          <w:szCs w:val="20"/>
        </w:rPr>
        <w:tab/>
      </w:r>
      <w:r>
        <w:rPr>
          <w:rFonts w:hint="default" w:ascii="Times New Roman" w:hAnsi="Times New Roman" w:cs="Times New Roman"/>
          <w:sz w:val="20"/>
          <w:szCs w:val="20"/>
        </w:rPr>
        <w:t xml:space="preserve">            QC    Y</w:t>
      </w:r>
      <w:r>
        <w:rPr>
          <w:rFonts w:hint="default" w:ascii="Times New Roman" w:hAnsi="Times New Roman" w:cs="Times New Roman"/>
          <w:sz w:val="20"/>
          <w:szCs w:val="20"/>
        </w:rPr>
        <w:tab/>
      </w:r>
      <w:r>
        <w:rPr>
          <w:rFonts w:hint="default" w:ascii="Times New Roman" w:hAnsi="Times New Roman" w:cs="Times New Roman"/>
          <w:sz w:val="20"/>
          <w:szCs w:val="20"/>
        </w:rPr>
        <w:t xml:space="preserve">        105</w:t>
      </w:r>
      <w:r>
        <w:rPr>
          <w:rFonts w:hint="default" w:ascii="Times New Roman" w:hAnsi="Times New Roman" w:cs="Times New Roman"/>
          <w:sz w:val="20"/>
          <w:szCs w:val="20"/>
        </w:rPr>
        <w:tab/>
      </w:r>
      <w:r>
        <w:rPr>
          <w:rFonts w:hint="default" w:ascii="Times New Roman" w:hAnsi="Times New Roman" w:cs="Times New Roman"/>
          <w:sz w:val="20"/>
          <w:szCs w:val="20"/>
        </w:rPr>
        <w:t xml:space="preserve">                             105.55</w:t>
      </w:r>
      <w:r>
        <w:rPr>
          <w:rFonts w:hint="default" w:ascii="Times New Roman" w:hAnsi="Times New Roman" w:cs="Times New Roman"/>
          <w:sz w:val="20"/>
          <w:szCs w:val="20"/>
        </w:rPr>
        <w:tab/>
      </w:r>
      <w:r>
        <w:rPr>
          <w:rFonts w:hint="default" w:ascii="Times New Roman" w:hAnsi="Times New Roman" w:cs="Times New Roman"/>
          <w:sz w:val="20"/>
          <w:szCs w:val="20"/>
        </w:rPr>
        <w:t xml:space="preserve">                       +0.546           0.052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25</w:t>
      </w:r>
      <w:r>
        <w:rPr>
          <w:rFonts w:hint="default" w:ascii="Times New Roman" w:hAnsi="Times New Roman" w:cs="Times New Roman"/>
          <w:sz w:val="20"/>
          <w:szCs w:val="20"/>
        </w:rPr>
        <w:tab/>
      </w:r>
      <w:r>
        <w:rPr>
          <w:rFonts w:hint="default" w:ascii="Times New Roman" w:hAnsi="Times New Roman" w:cs="Times New Roman"/>
          <w:sz w:val="20"/>
          <w:szCs w:val="20"/>
        </w:rPr>
        <w:t xml:space="preserve">  N/A</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SIM2-11         Target   21</w:t>
      </w:r>
      <w:r>
        <w:rPr>
          <w:rFonts w:hint="default" w:ascii="Times New Roman" w:hAnsi="Times New Roman" w:cs="Times New Roman"/>
          <w:sz w:val="20"/>
          <w:szCs w:val="20"/>
        </w:rPr>
        <w:tab/>
      </w:r>
      <w:r>
        <w:rPr>
          <w:rFonts w:hint="default" w:ascii="Times New Roman" w:hAnsi="Times New Roman" w:cs="Times New Roman"/>
          <w:sz w:val="20"/>
          <w:szCs w:val="20"/>
        </w:rPr>
        <w:t xml:space="preserve">       136</w:t>
      </w:r>
      <w:r>
        <w:rPr>
          <w:rFonts w:hint="default" w:ascii="Times New Roman" w:hAnsi="Times New Roman" w:cs="Times New Roman"/>
          <w:sz w:val="20"/>
          <w:szCs w:val="20"/>
        </w:rPr>
        <w:tab/>
      </w:r>
      <w:r>
        <w:rPr>
          <w:rFonts w:hint="default" w:ascii="Times New Roman" w:hAnsi="Times New Roman" w:cs="Times New Roman"/>
          <w:sz w:val="20"/>
          <w:szCs w:val="20"/>
        </w:rPr>
        <w:t xml:space="preserve">                             135.83</w:t>
      </w:r>
      <w:r>
        <w:rPr>
          <w:rFonts w:hint="default" w:ascii="Times New Roman" w:hAnsi="Times New Roman" w:cs="Times New Roman"/>
          <w:sz w:val="20"/>
          <w:szCs w:val="20"/>
        </w:rPr>
        <w:tab/>
      </w:r>
      <w:r>
        <w:rPr>
          <w:rFonts w:hint="default" w:ascii="Times New Roman" w:hAnsi="Times New Roman" w:cs="Times New Roman"/>
          <w:sz w:val="20"/>
          <w:szCs w:val="20"/>
        </w:rPr>
        <w:t xml:space="preserve">                       −0.169           0.064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40</w:t>
      </w:r>
      <w:r>
        <w:rPr>
          <w:rFonts w:hint="default" w:ascii="Times New Roman" w:hAnsi="Times New Roman" w:cs="Times New Roman"/>
          <w:sz w:val="20"/>
          <w:szCs w:val="20"/>
        </w:rPr>
        <w:tab/>
      </w:r>
      <w:r>
        <w:rPr>
          <w:rFonts w:hint="default" w:ascii="Times New Roman" w:hAnsi="Times New Roman" w:cs="Times New Roman"/>
          <w:sz w:val="20"/>
          <w:szCs w:val="20"/>
        </w:rPr>
        <w:t xml:space="preserve">  No</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ACSL4-17      Target   X</w:t>
      </w:r>
      <w:r>
        <w:rPr>
          <w:rFonts w:hint="default" w:ascii="Times New Roman" w:hAnsi="Times New Roman" w:cs="Times New Roman"/>
          <w:sz w:val="20"/>
          <w:szCs w:val="20"/>
        </w:rPr>
        <w:tab/>
      </w:r>
      <w:r>
        <w:rPr>
          <w:rFonts w:hint="default" w:ascii="Times New Roman" w:hAnsi="Times New Roman" w:cs="Times New Roman"/>
          <w:sz w:val="20"/>
          <w:szCs w:val="20"/>
        </w:rPr>
        <w:t xml:space="preserve">       184</w:t>
      </w:r>
      <w:r>
        <w:rPr>
          <w:rFonts w:hint="default" w:ascii="Times New Roman" w:hAnsi="Times New Roman" w:cs="Times New Roman"/>
          <w:sz w:val="20"/>
          <w:szCs w:val="20"/>
        </w:rPr>
        <w:tab/>
      </w:r>
      <w:r>
        <w:rPr>
          <w:rFonts w:hint="default" w:ascii="Times New Roman" w:hAnsi="Times New Roman" w:cs="Times New Roman"/>
          <w:sz w:val="20"/>
          <w:szCs w:val="20"/>
        </w:rPr>
        <w:t xml:space="preserve">                             186.51</w:t>
      </w:r>
      <w:r>
        <w:rPr>
          <w:rFonts w:hint="default" w:ascii="Times New Roman" w:hAnsi="Times New Roman" w:cs="Times New Roman"/>
          <w:sz w:val="20"/>
          <w:szCs w:val="20"/>
        </w:rPr>
        <w:tab/>
      </w:r>
      <w:r>
        <w:rPr>
          <w:rFonts w:hint="default" w:ascii="Times New Roman" w:hAnsi="Times New Roman" w:cs="Times New Roman"/>
          <w:sz w:val="20"/>
          <w:szCs w:val="20"/>
        </w:rPr>
        <w:t xml:space="preserve">                       +2.507           0.046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40</w:t>
      </w:r>
      <w:r>
        <w:rPr>
          <w:rFonts w:hint="default" w:ascii="Times New Roman" w:hAnsi="Times New Roman" w:cs="Times New Roman"/>
          <w:sz w:val="20"/>
          <w:szCs w:val="20"/>
        </w:rPr>
        <w:tab/>
      </w:r>
      <w:r>
        <w:rPr>
          <w:rFonts w:hint="default" w:ascii="Times New Roman" w:hAnsi="Times New Roman" w:cs="Times New Roman"/>
          <w:sz w:val="20"/>
          <w:szCs w:val="20"/>
        </w:rPr>
        <w:t xml:space="preserve">  Yes</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NFATC1-9      Target   18</w:t>
      </w:r>
      <w:r>
        <w:rPr>
          <w:rFonts w:hint="default" w:ascii="Times New Roman" w:hAnsi="Times New Roman" w:cs="Times New Roman"/>
          <w:sz w:val="20"/>
          <w:szCs w:val="20"/>
        </w:rPr>
        <w:tab/>
      </w:r>
      <w:r>
        <w:rPr>
          <w:rFonts w:hint="default" w:ascii="Times New Roman" w:hAnsi="Times New Roman" w:cs="Times New Roman"/>
          <w:sz w:val="20"/>
          <w:szCs w:val="20"/>
        </w:rPr>
        <w:t xml:space="preserve">       255</w:t>
      </w:r>
      <w:r>
        <w:rPr>
          <w:rFonts w:hint="default" w:ascii="Times New Roman" w:hAnsi="Times New Roman" w:cs="Times New Roman"/>
          <w:sz w:val="20"/>
          <w:szCs w:val="20"/>
        </w:rPr>
        <w:tab/>
      </w:r>
      <w:r>
        <w:rPr>
          <w:rFonts w:hint="default" w:ascii="Times New Roman" w:hAnsi="Times New Roman" w:cs="Times New Roman"/>
          <w:sz w:val="20"/>
          <w:szCs w:val="20"/>
        </w:rPr>
        <w:t xml:space="preserve">                             255.00</w:t>
      </w:r>
      <w:r>
        <w:rPr>
          <w:rFonts w:hint="default" w:ascii="Times New Roman" w:hAnsi="Times New Roman" w:cs="Times New Roman"/>
          <w:sz w:val="20"/>
          <w:szCs w:val="20"/>
        </w:rPr>
        <w:tab/>
      </w:r>
      <w:r>
        <w:rPr>
          <w:rFonts w:hint="default" w:ascii="Times New Roman" w:hAnsi="Times New Roman" w:cs="Times New Roman"/>
          <w:sz w:val="20"/>
          <w:szCs w:val="20"/>
        </w:rPr>
        <w:t xml:space="preserve">                       +0.004           0.095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 xml:space="preserve">40 </w:t>
      </w:r>
      <w:r>
        <w:rPr>
          <w:rFonts w:hint="default" w:ascii="Times New Roman" w:hAnsi="Times New Roman" w:cs="Times New Roman"/>
          <w:sz w:val="20"/>
          <w:szCs w:val="20"/>
        </w:rPr>
        <w:tab/>
      </w:r>
      <w:r>
        <w:rPr>
          <w:rFonts w:hint="default" w:ascii="Times New Roman" w:hAnsi="Times New Roman" w:cs="Times New Roman"/>
          <w:sz w:val="20"/>
          <w:szCs w:val="20"/>
        </w:rPr>
        <w:t xml:space="preserve">   No</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TSPAN7-5      Target   X</w:t>
      </w:r>
      <w:r>
        <w:rPr>
          <w:rFonts w:hint="default" w:ascii="Times New Roman" w:hAnsi="Times New Roman" w:cs="Times New Roman"/>
          <w:sz w:val="20"/>
          <w:szCs w:val="20"/>
        </w:rPr>
        <w:tab/>
      </w:r>
      <w:r>
        <w:rPr>
          <w:rFonts w:hint="default" w:ascii="Times New Roman" w:hAnsi="Times New Roman" w:cs="Times New Roman"/>
          <w:sz w:val="20"/>
          <w:szCs w:val="20"/>
        </w:rPr>
        <w:t xml:space="preserve">       274</w:t>
      </w:r>
      <w:r>
        <w:rPr>
          <w:rFonts w:hint="default" w:ascii="Times New Roman" w:hAnsi="Times New Roman" w:cs="Times New Roman"/>
          <w:sz w:val="20"/>
          <w:szCs w:val="20"/>
        </w:rPr>
        <w:tab/>
      </w:r>
      <w:r>
        <w:rPr>
          <w:rFonts w:hint="default" w:ascii="Times New Roman" w:hAnsi="Times New Roman" w:cs="Times New Roman"/>
          <w:sz w:val="20"/>
          <w:szCs w:val="20"/>
        </w:rPr>
        <w:t xml:space="preserve">                             272.75</w:t>
      </w:r>
      <w:r>
        <w:rPr>
          <w:rFonts w:hint="default" w:ascii="Times New Roman" w:hAnsi="Times New Roman" w:cs="Times New Roman"/>
          <w:sz w:val="20"/>
          <w:szCs w:val="20"/>
        </w:rPr>
        <w:tab/>
      </w:r>
      <w:r>
        <w:rPr>
          <w:rFonts w:hint="default" w:ascii="Times New Roman" w:hAnsi="Times New Roman" w:cs="Times New Roman"/>
          <w:sz w:val="20"/>
          <w:szCs w:val="20"/>
        </w:rPr>
        <w:t xml:space="preserve">                       −1.250           0.189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40</w:t>
      </w:r>
      <w:r>
        <w:rPr>
          <w:rFonts w:hint="default" w:ascii="Times New Roman" w:hAnsi="Times New Roman" w:cs="Times New Roman"/>
          <w:sz w:val="20"/>
          <w:szCs w:val="20"/>
        </w:rPr>
        <w:tab/>
      </w:r>
      <w:r>
        <w:rPr>
          <w:rFonts w:hint="default" w:ascii="Times New Roman" w:hAnsi="Times New Roman" w:cs="Times New Roman"/>
          <w:sz w:val="20"/>
          <w:szCs w:val="20"/>
        </w:rPr>
        <w:t xml:space="preserve">   Yes</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L1CAM-4       Target   X</w:t>
      </w:r>
      <w:r>
        <w:rPr>
          <w:rFonts w:hint="default" w:ascii="Times New Roman" w:hAnsi="Times New Roman" w:cs="Times New Roman"/>
          <w:sz w:val="20"/>
          <w:szCs w:val="20"/>
        </w:rPr>
        <w:tab/>
      </w:r>
      <w:r>
        <w:rPr>
          <w:rFonts w:hint="default" w:ascii="Times New Roman" w:hAnsi="Times New Roman" w:cs="Times New Roman"/>
          <w:sz w:val="20"/>
          <w:szCs w:val="20"/>
        </w:rPr>
        <w:t xml:space="preserve">       319</w:t>
      </w:r>
      <w:r>
        <w:rPr>
          <w:rFonts w:hint="default" w:ascii="Times New Roman" w:hAnsi="Times New Roman" w:cs="Times New Roman"/>
          <w:sz w:val="20"/>
          <w:szCs w:val="20"/>
        </w:rPr>
        <w:tab/>
      </w:r>
      <w:r>
        <w:rPr>
          <w:rFonts w:hint="default" w:ascii="Times New Roman" w:hAnsi="Times New Roman" w:cs="Times New Roman"/>
          <w:sz w:val="20"/>
          <w:szCs w:val="20"/>
        </w:rPr>
        <w:t xml:space="preserve">                             318.65</w:t>
      </w:r>
      <w:r>
        <w:rPr>
          <w:rFonts w:hint="default" w:ascii="Times New Roman" w:hAnsi="Times New Roman" w:cs="Times New Roman"/>
          <w:sz w:val="20"/>
          <w:szCs w:val="20"/>
        </w:rPr>
        <w:tab/>
      </w:r>
      <w:r>
        <w:rPr>
          <w:rFonts w:hint="default" w:ascii="Times New Roman" w:hAnsi="Times New Roman" w:cs="Times New Roman"/>
          <w:sz w:val="20"/>
          <w:szCs w:val="20"/>
        </w:rPr>
        <w:t xml:space="preserve">                       −0.346           0.045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40</w:t>
      </w:r>
      <w:r>
        <w:rPr>
          <w:rFonts w:hint="default" w:ascii="Times New Roman" w:hAnsi="Times New Roman" w:cs="Times New Roman"/>
          <w:sz w:val="20"/>
          <w:szCs w:val="20"/>
        </w:rPr>
        <w:tab/>
      </w:r>
      <w:r>
        <w:rPr>
          <w:rFonts w:hint="default" w:ascii="Times New Roman" w:hAnsi="Times New Roman" w:cs="Times New Roman"/>
          <w:sz w:val="20"/>
          <w:szCs w:val="20"/>
        </w:rPr>
        <w:t xml:space="preserve">   No</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BRCA2-15     Target   13</w:t>
      </w:r>
      <w:r>
        <w:rPr>
          <w:rFonts w:hint="default" w:ascii="Times New Roman" w:hAnsi="Times New Roman" w:cs="Times New Roman"/>
          <w:sz w:val="20"/>
          <w:szCs w:val="20"/>
        </w:rPr>
        <w:tab/>
      </w:r>
      <w:r>
        <w:rPr>
          <w:rFonts w:hint="default" w:ascii="Times New Roman" w:hAnsi="Times New Roman" w:cs="Times New Roman"/>
          <w:sz w:val="20"/>
          <w:szCs w:val="20"/>
        </w:rPr>
        <w:t xml:space="preserve">       355</w:t>
      </w:r>
      <w:r>
        <w:rPr>
          <w:rFonts w:hint="default" w:ascii="Times New Roman" w:hAnsi="Times New Roman" w:cs="Times New Roman"/>
          <w:sz w:val="20"/>
          <w:szCs w:val="20"/>
        </w:rPr>
        <w:tab/>
      </w:r>
      <w:r>
        <w:rPr>
          <w:rFonts w:hint="default" w:ascii="Times New Roman" w:hAnsi="Times New Roman" w:cs="Times New Roman"/>
          <w:sz w:val="20"/>
          <w:szCs w:val="20"/>
        </w:rPr>
        <w:t xml:space="preserve">                              358.50</w:t>
      </w:r>
      <w:r>
        <w:rPr>
          <w:rFonts w:hint="default" w:ascii="Times New Roman" w:hAnsi="Times New Roman" w:cs="Times New Roman"/>
          <w:sz w:val="20"/>
          <w:szCs w:val="20"/>
        </w:rPr>
        <w:tab/>
      </w:r>
      <w:r>
        <w:rPr>
          <w:rFonts w:hint="default" w:ascii="Times New Roman" w:hAnsi="Times New Roman" w:cs="Times New Roman"/>
          <w:sz w:val="20"/>
          <w:szCs w:val="20"/>
        </w:rPr>
        <w:t xml:space="preserve">                       +3.501           0.099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40</w:t>
      </w:r>
      <w:r>
        <w:rPr>
          <w:rFonts w:hint="default" w:ascii="Times New Roman" w:hAnsi="Times New Roman" w:cs="Times New Roman"/>
          <w:sz w:val="20"/>
          <w:szCs w:val="20"/>
        </w:rPr>
        <w:tab/>
      </w:r>
      <w:r>
        <w:rPr>
          <w:rFonts w:hint="default" w:ascii="Times New Roman" w:hAnsi="Times New Roman" w:cs="Times New Roman"/>
          <w:sz w:val="20"/>
          <w:szCs w:val="20"/>
        </w:rPr>
        <w:t xml:space="preserve">   Yes</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TFF1-1           Target   21</w:t>
      </w:r>
      <w:r>
        <w:rPr>
          <w:rFonts w:hint="default" w:ascii="Times New Roman" w:hAnsi="Times New Roman" w:cs="Times New Roman"/>
          <w:sz w:val="20"/>
          <w:szCs w:val="20"/>
        </w:rPr>
        <w:tab/>
      </w:r>
      <w:r>
        <w:rPr>
          <w:rFonts w:hint="default" w:ascii="Times New Roman" w:hAnsi="Times New Roman" w:cs="Times New Roman"/>
          <w:sz w:val="20"/>
          <w:szCs w:val="20"/>
        </w:rPr>
        <w:t xml:space="preserve">       382</w:t>
      </w:r>
      <w:r>
        <w:rPr>
          <w:rFonts w:hint="default" w:ascii="Times New Roman" w:hAnsi="Times New Roman" w:cs="Times New Roman"/>
          <w:sz w:val="20"/>
          <w:szCs w:val="20"/>
        </w:rPr>
        <w:tab/>
      </w:r>
      <w:r>
        <w:rPr>
          <w:rFonts w:hint="default" w:ascii="Times New Roman" w:hAnsi="Times New Roman" w:cs="Times New Roman"/>
          <w:sz w:val="20"/>
          <w:szCs w:val="20"/>
        </w:rPr>
        <w:t xml:space="preserve">                             385.42</w:t>
      </w:r>
      <w:r>
        <w:rPr>
          <w:rFonts w:hint="default" w:ascii="Times New Roman" w:hAnsi="Times New Roman" w:cs="Times New Roman"/>
          <w:sz w:val="20"/>
          <w:szCs w:val="20"/>
        </w:rPr>
        <w:tab/>
      </w:r>
      <w:r>
        <w:rPr>
          <w:rFonts w:hint="default" w:ascii="Times New Roman" w:hAnsi="Times New Roman" w:cs="Times New Roman"/>
          <w:sz w:val="20"/>
          <w:szCs w:val="20"/>
        </w:rPr>
        <w:t xml:space="preserve">                       +3.421           0.066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40</w:t>
      </w:r>
      <w:r>
        <w:rPr>
          <w:rFonts w:hint="default" w:ascii="Times New Roman" w:hAnsi="Times New Roman" w:cs="Times New Roman"/>
          <w:sz w:val="20"/>
          <w:szCs w:val="20"/>
        </w:rPr>
        <w:tab/>
      </w:r>
      <w:r>
        <w:rPr>
          <w:rFonts w:hint="default" w:ascii="Times New Roman" w:hAnsi="Times New Roman" w:cs="Times New Roman"/>
          <w:sz w:val="20"/>
          <w:szCs w:val="20"/>
        </w:rPr>
        <w:t xml:space="preserve">   Yes</w:t>
      </w:r>
    </w:p>
    <w:p>
      <w:pPr>
        <w:spacing w:line="360" w:lineRule="auto"/>
        <w:jc w:val="both"/>
        <w:rPr>
          <w:rFonts w:hint="default" w:ascii="Times New Roman" w:hAnsi="Times New Roman" w:cs="Times New Roman"/>
          <w:sz w:val="20"/>
          <w:szCs w:val="20"/>
        </w:rPr>
      </w:pPr>
      <w:r>
        <w:rPr>
          <w:rFonts w:hint="default" w:ascii="Times New Roman" w:hAnsi="Times New Roman" w:cs="Times New Roman"/>
          <w:sz w:val="20"/>
          <w:szCs w:val="20"/>
        </w:rPr>
        <w:t>DMD-69         Target   X</w:t>
      </w:r>
      <w:r>
        <w:rPr>
          <w:rFonts w:hint="default" w:ascii="Times New Roman" w:hAnsi="Times New Roman" w:cs="Times New Roman"/>
          <w:sz w:val="20"/>
          <w:szCs w:val="20"/>
        </w:rPr>
        <w:tab/>
      </w:r>
      <w:r>
        <w:rPr>
          <w:rFonts w:hint="default" w:ascii="Times New Roman" w:hAnsi="Times New Roman" w:cs="Times New Roman"/>
          <w:sz w:val="20"/>
          <w:szCs w:val="20"/>
        </w:rPr>
        <w:t xml:space="preserve">       454</w:t>
      </w:r>
      <w:r>
        <w:rPr>
          <w:rFonts w:hint="default" w:ascii="Times New Roman" w:hAnsi="Times New Roman" w:cs="Times New Roman"/>
          <w:sz w:val="20"/>
          <w:szCs w:val="20"/>
        </w:rPr>
        <w:tab/>
      </w:r>
      <w:r>
        <w:rPr>
          <w:rFonts w:hint="default" w:ascii="Times New Roman" w:hAnsi="Times New Roman" w:cs="Times New Roman"/>
          <w:sz w:val="20"/>
          <w:szCs w:val="20"/>
        </w:rPr>
        <w:t xml:space="preserve">                              454.50</w:t>
      </w:r>
      <w:r>
        <w:rPr>
          <w:rFonts w:hint="default" w:ascii="Times New Roman" w:hAnsi="Times New Roman" w:cs="Times New Roman"/>
          <w:sz w:val="20"/>
          <w:szCs w:val="20"/>
        </w:rPr>
        <w:tab/>
      </w:r>
      <w:r>
        <w:rPr>
          <w:rFonts w:hint="default" w:ascii="Times New Roman" w:hAnsi="Times New Roman" w:cs="Times New Roman"/>
          <w:sz w:val="20"/>
          <w:szCs w:val="20"/>
        </w:rPr>
        <w:t xml:space="preserve">                       +0.495           0.075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40</w:t>
      </w:r>
      <w:r>
        <w:rPr>
          <w:rFonts w:hint="default" w:ascii="Times New Roman" w:hAnsi="Times New Roman" w:cs="Times New Roman"/>
          <w:sz w:val="20"/>
          <w:szCs w:val="20"/>
        </w:rPr>
        <w:tab/>
      </w:r>
      <w:r>
        <w:rPr>
          <w:rFonts w:hint="default" w:ascii="Times New Roman" w:hAnsi="Times New Roman" w:cs="Times New Roman"/>
          <w:sz w:val="20"/>
          <w:szCs w:val="20"/>
        </w:rPr>
        <w:t xml:space="preserve">   No</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†Y-105: not bin-assigned in active Coffalyser.Net template; shift calculated from 25 male-donor wells only. All other values derived from all qualifying wells per fragment (n=40 autosomal/X; n=25 Y-specific). See Supplementary Table S2 for the complete dataset of all 45 fragments. Following the validated fragment analysis protocol, we adjusted the bin boundaries for 31 target probes and 7 QC fragments whose peaks were consistently observed outside manufacturer default bin boundaries. These adjustments were constrained to ≤0.5 nt magnitude per MRC Holland guidance to maintain diagnostic integrity.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Six fragments (Q-70, SIM2-11, ABCC4-23, NFATC1-9, L1CAM-4, and DMD-69) had shifts &lt;0.5 nt and required no adjustment. The final bin set therefore comprises 38 adjusted fragments and 6 fragments retained at default manufacturer positions. This set was validated and implemented as the default analytical template for all subsequent laboratory analyses.</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MRC-550 ROX Size Standard: Characterization Results</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Fragment Identification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Competitive nearest-neighbor matching against all 31 updated MRC-550 (</w:t>
      </w:r>
      <w:r>
        <w:rPr>
          <w:rFonts w:hint="default" w:ascii="Times New Roman" w:hAnsi="Times New Roman" w:cs="Times New Roman"/>
          <w:sz w:val="24"/>
          <w:szCs w:val="24"/>
          <w:lang w:val="en-US"/>
        </w:rPr>
        <w:t>MIC-Holland</w:t>
      </w:r>
      <w:r>
        <w:rPr>
          <w:rFonts w:hint="default" w:ascii="Times New Roman" w:hAnsi="Times New Roman" w:cs="Times New Roman"/>
          <w:sz w:val="24"/>
          <w:szCs w:val="24"/>
        </w:rPr>
        <w:t xml:space="preserve">, Amsterdam the Netherlands) nominal fragment sizes was applied independently to each of the 120 wells using a symmetric ±6 nt search window with greedy assignment guided by ascending absolute proximity priority, preventing cross-labelling within the tightly spaced triplet clusters of the fragment zone (200/204/208, 299/305/309, 400/405/410; inter-fragment spacing 4–6 nt), where the search window width alone would be insufficient without one-to-one competitive assignment. The greedy optimization strategy and assignment constraints follow design principles described in Cormen et al. (2009). The ±6 nt window is one nucleotide wider than the ±5 nt fragment assignment bin used by Coffalyser.Net (www.mrc-holland.com, Amsterdam, the Netherlands), deliberately chosen to accommodate inter-run and inter-capillary electrophoretic mobility variations.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competitive constraint, requiring that each observed peak and each nominal target be assigned at most once per well, is analogous in principle to the fragment bin assignment approach utilized by Coffalyser.Net (</w:t>
      </w:r>
      <w:r>
        <w:rPr>
          <w:rFonts w:hint="default" w:ascii="Times New Roman" w:hAnsi="Times New Roman" w:cs="Times New Roman"/>
          <w:sz w:val="24"/>
          <w:szCs w:val="24"/>
          <w:lang w:val="en-US"/>
        </w:rPr>
        <w:t>MIC-Holland</w:t>
      </w:r>
      <w:r>
        <w:rPr>
          <w:rFonts w:hint="default" w:ascii="Times New Roman" w:hAnsi="Times New Roman" w:cs="Times New Roman"/>
          <w:sz w:val="24"/>
          <w:szCs w:val="24"/>
        </w:rPr>
        <w:t xml:space="preserve">, Amsterdam, the Netherlands). Across the 80 MRC-550 size standard wells, 4,060 peaks remained unassigned after competitive matching. These peaks were kept for background characterization. This group averages about 51 unassigned peaks per well. These peaks represent low-intensity electrical noise and minor chemical artifacts below the analytical threshold. Instead of indicating a problem, this background capture is a normal feature of spectral dye-matrix calibrations.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alternative forensic DS-36 (Dye Set J6) setup shows increased baseline sensitivity when tracking a ROX-based channel. As a result, the extraction algorithm picks up low-level background phenomena, like electrical camera ripple and trace unligated dye remnants, which are usually hidden by vendor smoothing filters. Keeping these 4,060 raw signals provides a thorough background dataset. This dataset supports our Limit of Blank (LoB) and Limit of Detection (LoD) calculations. It shows clear analytical control and effective diagnostic signal separation. Importantly, the competitive nearest-neighbor algorithm acted as a precise analytical filter. It isolated the 1,440 true size standard fragments (18 fragments * 80 wells) with complete success.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the 40 MLPA wells, the algorithm simultaneously resolved MRC-550 bleed-through peaks, which exhibited a mean intensity of 186 RFU and a range of 112 to 261 RFU, from DS-36/P095 probe amplicons spanning 689 to 7,347 RFU at co-migrating size positions. The competitive constraint ensured that probe amplicons were not double-assigned to MRC-550 nominals at the same location. The electrophoretic distinction between these two peak populations across both well types is illustrated in Figure 1 and Figure 2, generated directly from representative wells of the present dataset (MRC-550 size standard well: MLPA-000; MLPA well: MLPA-03).</w:t>
      </w:r>
    </w:p>
    <w:p>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941060" cy="2326640"/>
            <wp:effectExtent l="0" t="0" r="2540" b="5080"/>
            <wp:docPr id="11" name="Picture 11" descr="Figure1_ROX_only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1_ROX_only (6)"/>
                    <pic:cNvPicPr>
                      <a:picLocks noChangeAspect="1"/>
                    </pic:cNvPicPr>
                  </pic:nvPicPr>
                  <pic:blipFill>
                    <a:blip r:embed="rId7"/>
                    <a:stretch>
                      <a:fillRect/>
                    </a:stretch>
                  </pic:blipFill>
                  <pic:spPr>
                    <a:xfrm>
                      <a:off x="0" y="0"/>
                      <a:ext cx="5941060" cy="2326640"/>
                    </a:xfrm>
                    <a:prstGeom prst="rect">
                      <a:avLst/>
                    </a:prstGeom>
                  </pic:spPr>
                </pic:pic>
              </a:graphicData>
            </a:graphic>
          </wp:inline>
        </w:drawing>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Figure1. Representative electropherogram of the MRC-550 ROX size standard from a ROX-only well. Blue peaks = QC-zone fragments (≤126 nt); dark red peaks = probe-zone fragments (≥200 nt). Nominal sizes are labelled above each peak shown in relative fluorescence units (RFU). Fragment nominal sizes (nt) were assigned by competitive nearest-neighbour matching within a ±6 nt search window. All 18 retained fragments were detected (9/9 QC zone; 9/9 probe zone). </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941060" cy="1952625"/>
            <wp:effectExtent l="0" t="0" r="2540" b="13335"/>
            <wp:docPr id="12" name="Picture 12" descr="Figure2_MLP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ure2_MLPA (13)"/>
                    <pic:cNvPicPr>
                      <a:picLocks noChangeAspect="1"/>
                    </pic:cNvPicPr>
                  </pic:nvPicPr>
                  <pic:blipFill>
                    <a:blip r:embed="rId8"/>
                    <a:stretch>
                      <a:fillRect/>
                    </a:stretch>
                  </pic:blipFill>
                  <pic:spPr>
                    <a:xfrm>
                      <a:off x="0" y="0"/>
                      <a:ext cx="5941060" cy="1952625"/>
                    </a:xfrm>
                    <a:prstGeom prst="rect">
                      <a:avLst/>
                    </a:prstGeom>
                  </pic:spPr>
                </pic:pic>
              </a:graphicData>
            </a:graphic>
          </wp:inline>
        </w:drawing>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Figure2. Figure 2. Representative electropherogram of the MRC-550 ROX size standard from an MLPA well. Size-standard peaks remain clearly detectable among the higher-intensity probe amplicons. Blue bars indicate the nine retained QC-zone size standard fragments (58–126 nt); dark red bars indicate the nine retained probe-zone size standard fragments (200–410 nt). Fragment nominal sizes (nt) were assigned by competitive nearest-neighbour matching within a ±6 nt search window. All 18 retained size standard fragments were detected (9/9 QC zone; 9/9 probe zone) despite the presence of high-intensity probe amplicons in the probe zone. Peak heights are shown in relative fluorescence units (RFU).</w:t>
      </w:r>
    </w:p>
    <w:p>
      <w:pPr>
        <w:pStyle w:val="49"/>
        <w:numPr>
          <w:ilvl w:val="2"/>
          <w:numId w:val="8"/>
        </w:numPr>
        <w:spacing w:line="360" w:lineRule="auto"/>
        <w:jc w:val="both"/>
        <w:rPr>
          <w:rFonts w:hint="default" w:ascii="Times New Roman" w:hAnsi="Times New Roman" w:cs="Times New Roman"/>
          <w:b/>
          <w:bCs/>
          <w:color w:val="FF0000"/>
          <w:sz w:val="24"/>
          <w:szCs w:val="24"/>
        </w:rPr>
      </w:pPr>
      <w:r>
        <w:rPr>
          <w:rFonts w:hint="default" w:ascii="Times New Roman" w:hAnsi="Times New Roman" w:cs="Times New Roman"/>
          <w:b/>
          <w:bCs/>
          <w:sz w:val="24"/>
          <w:szCs w:val="24"/>
        </w:rPr>
        <w:t xml:space="preserve"> Fragment Selection: Exclusion Outcomes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Sequential application of the two pre-specified exclusion criteria and the analytical range cap to all 31 MRC-550 nominal sizes yielded 13 exclusions and 18 retentions. Detection counts for all 31 nominal fragment sizes, stratified by well type (ROX-only vs. MLPA) and exclusion category, are presented in Figure 3.</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5933440" cy="2253615"/>
            <wp:effectExtent l="0" t="0" r="10160" b="1905"/>
            <wp:docPr id="10" name="Picture 10" descr="Figure3_Detection_Rates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3_Detection_Rates (11)"/>
                    <pic:cNvPicPr>
                      <a:picLocks noChangeAspect="1"/>
                    </pic:cNvPicPr>
                  </pic:nvPicPr>
                  <pic:blipFill>
                    <a:blip r:embed="rId9"/>
                    <a:stretch>
                      <a:fillRect/>
                    </a:stretch>
                  </pic:blipFill>
                  <pic:spPr>
                    <a:xfrm>
                      <a:off x="0" y="0"/>
                      <a:ext cx="5933440" cy="2253615"/>
                    </a:xfrm>
                    <a:prstGeom prst="rect">
                      <a:avLst/>
                    </a:prstGeom>
                  </pic:spPr>
                </pic:pic>
              </a:graphicData>
            </a:graphic>
          </wp:inline>
        </w:drawing>
      </w:r>
    </w:p>
    <w:p>
      <w:pPr>
        <w:tabs>
          <w:tab w:val="left" w:pos="328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Figure3. Detection counts of MRC-550 fragments across 120 wells.</w:t>
      </w:r>
    </w:p>
    <w:p>
      <w:pPr>
        <w:tabs>
          <w:tab w:val="left" w:pos="328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Bar height shows the number of wells in which each fragment was detected (maximum = 80 for ROX-only wells, 40 for MLPA wells). Bar colour indicates exclusion status: Green = (Retained, n=18): Fragments (58–410 nt) passing all exclusion criteria, Red = (C1 excluded, n=8): Fragments (161, 181, 241, 273, 374, 440, 458, and 550 nt) absent from the primary matrix in ROX-only wells. Notably, the 550 nt fragment was completely undetected in all 120 wells (bar height = 0), confirming it as a true negative with DS-36 chemistry. The other seven C1 fragments are probe amplicons co-migrating in MLPA wells, filtered to ensure baseline signal purity (CLSI EP17-A2, 2012), Orange = (C2 excluded, n=2): Fragments (460, 480 nt) failing the ≥13/16 detection threshold in at least one run (CLSI EP05-Ed4, 2025), Purple = (Range cap, n=3): Fragments (500, 506, 511 nt) passing C1 and C2 but excluded above the analytical range cap (&gt;410 nt).m The dashed line marks the C2 detection threshold of 13.</w:t>
      </w:r>
      <w:r>
        <w:rPr>
          <w:rFonts w:hint="default" w:ascii="Times New Roman" w:hAnsi="Times New Roman" w:cs="Times New Roman"/>
          <w:sz w:val="24"/>
          <w:szCs w:val="24"/>
        </w:rPr>
        <w:tab/>
      </w:r>
    </w:p>
    <w:p>
      <w:pPr>
        <w:pStyle w:val="49"/>
        <w:numPr>
          <w:ilvl w:val="3"/>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Criterion 1 (Primary Matrix Detectability)</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Eight fragments achieved zero detections across all 80 ROX-only wells: 161, 181, 241, 273, 374, 440, 458, and 550 nt. Seven of these eight (161, 181, 241, 273, 374, 440, and 458 nt) were detected in 10–40 of the 40 MLPA wells at heights of 101–7,347 RFU, consistent with DS-36/P095 probe amplicons co-migrating at those nominal sizes (Schouten et al., 2002; Jankowski et al., 2008). The 550-nt fragment was absent from all 120 wells, indicating that no detectable signal at that size position is produced under DS-36 chemistry on the ABI 3500xl.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complete absence from the primary matrix disqualifies all eight fragments as authentic components of the MRC-550 size standard ladder, satisfying the primary matrix presence criterion (C1) for exclusion (CLSI EP17-A2, 2012; Armbruster &amp; Pry, 2008).</w:t>
      </w:r>
    </w:p>
    <w:p>
      <w:pPr>
        <w:pStyle w:val="49"/>
        <w:numPr>
          <w:ilvl w:val="3"/>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Criterion 2 (Cross-Run Completeness)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Two of the 23 fragments passing C1 failed the ≥13/16 per-run detection threshold in at least one of the five ROX-only runs (size standard wells): 460 nt (maximum 8/16 in any single run) and 480 nt (12/16 in run 2; 9/16 in run 5). Erratic cross-run detection disqualifies these fragments from reliable calibration use under the CLSI EP05-Ed4 (2025) precision evaluation framework. The threshold of 13/16 represents the analytically derived lower 99th-percentile bound for a Binomial(16, 0.95) detection process (CLSI EP17-A2, 2012; Virtanen et al., 2020), conferring a false-exclusion rate of 0.70% (1 in 143) per fragment per run, which is acceptable given five independent runs providing confirmatory evidence (Armbruster &amp; Pry, 2008).</w:t>
      </w:r>
    </w:p>
    <w:p>
      <w:pPr>
        <w:pStyle w:val="49"/>
        <w:numPr>
          <w:ilvl w:val="3"/>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Retained set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Eighteen fragments were retained spanning 58–410 nt. The concurrent C1 exclusion of the 161 nt and 181 nt fragments (Section 3.2.2.1) creates a 74 nt detection gap (126→200 nt) that partitions the retained set into two size domains:</w:t>
      </w:r>
    </w:p>
    <w:p>
      <w:pPr>
        <w:pStyle w:val="49"/>
        <w:numPr>
          <w:ilvl w:val="5"/>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Lower domain (58–126 nt): fragments 58, 68, 78, 87, 98, 107, 119, 123, 126 nt — n = 9 fragments; n = 1,010 observations.</w:t>
      </w:r>
    </w:p>
    <w:p>
      <w:pPr>
        <w:pStyle w:val="49"/>
        <w:numPr>
          <w:ilvl w:val="5"/>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Upper domain (200–410 nt): fragments 200, 204, 208, 299, 305, 309, 400, 405, 410 nt — n = 9 fragments; n = 1,016 observations.</w:t>
      </w:r>
    </w:p>
    <w:p>
      <w:pPr>
        <w:pStyle w:val="49"/>
        <w:numPr>
          <w:ilvl w:val="5"/>
          <w:numId w:val="9"/>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Total: n = 2,026 observations across 120 wells and 5 independent runs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Per-fragment sizing statistics are presented in Table 8.</w:t>
      </w:r>
    </w:p>
    <w:p>
      <w:pPr>
        <w:spacing w:after="100" w:line="360" w:lineRule="auto"/>
        <w:jc w:val="both"/>
        <w:rPr>
          <w:rFonts w:hint="default" w:ascii="Times New Roman" w:hAnsi="Times New Roman" w:cs="Times New Roman"/>
          <w:sz w:val="24"/>
          <w:szCs w:val="24"/>
        </w:rPr>
      </w:pPr>
    </w:p>
    <w:p>
      <w:pPr>
        <w:spacing w:after="100" w:line="360" w:lineRule="auto"/>
        <w:jc w:val="both"/>
        <w:rPr>
          <w:rFonts w:hint="default" w:ascii="Times New Roman" w:hAnsi="Times New Roman" w:cs="Times New Roman"/>
          <w:sz w:val="24"/>
          <w:szCs w:val="24"/>
        </w:rPr>
      </w:pPr>
    </w:p>
    <w:p>
      <w:pPr>
        <w:spacing w:after="100" w:line="360" w:lineRule="auto"/>
        <w:jc w:val="both"/>
        <w:rPr>
          <w:rFonts w:hint="default" w:ascii="Times New Roman" w:hAnsi="Times New Roman" w:cs="Times New Roman"/>
          <w:sz w:val="24"/>
          <w:szCs w:val="24"/>
        </w:rPr>
      </w:pPr>
    </w:p>
    <w:p>
      <w:pPr>
        <w:spacing w:after="100" w:line="360" w:lineRule="auto"/>
        <w:jc w:val="both"/>
        <w:rPr>
          <w:rFonts w:hint="default" w:ascii="Times New Roman" w:hAnsi="Times New Roman" w:cs="Times New Roman"/>
          <w:sz w:val="24"/>
          <w:szCs w:val="24"/>
        </w:rPr>
      </w:pPr>
    </w:p>
    <w:p>
      <w:pPr>
        <w:spacing w:after="100" w:line="360" w:lineRule="auto"/>
        <w:jc w:val="both"/>
        <w:rPr>
          <w:rFonts w:hint="default" w:ascii="Times New Roman" w:hAnsi="Times New Roman" w:cs="Times New Roman"/>
          <w:sz w:val="24"/>
          <w:szCs w:val="24"/>
        </w:rPr>
      </w:pP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Table8. MRC-550 Fragment Sizing Performance (n = 2,026 total observations; 120 wells, 5 runs)</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Nominal size (nt)   Domain      n    Mean Obs (nt)     Bias (nt)</w:t>
      </w:r>
      <w:r>
        <w:rPr>
          <w:rFonts w:hint="default" w:ascii="Times New Roman" w:hAnsi="Times New Roman" w:cs="Times New Roman"/>
          <w:sz w:val="24"/>
          <w:szCs w:val="24"/>
        </w:rPr>
        <w:tab/>
      </w:r>
      <w:r>
        <w:rPr>
          <w:rFonts w:hint="default" w:ascii="Times New Roman" w:hAnsi="Times New Roman" w:cs="Times New Roman"/>
          <w:sz w:val="24"/>
          <w:szCs w:val="24"/>
        </w:rPr>
        <w:t xml:space="preserve"> WR_SD (nt)</w:t>
      </w:r>
      <w:r>
        <w:rPr>
          <w:rFonts w:hint="default" w:ascii="Times New Roman" w:hAnsi="Times New Roman" w:cs="Times New Roman"/>
          <w:sz w:val="24"/>
          <w:szCs w:val="24"/>
        </w:rPr>
        <w:tab/>
      </w:r>
      <w:r>
        <w:rPr>
          <w:rFonts w:hint="default" w:ascii="Times New Roman" w:hAnsi="Times New Roman" w:cs="Times New Roman"/>
          <w:sz w:val="24"/>
          <w:szCs w:val="24"/>
        </w:rPr>
        <w:t xml:space="preserve"> BR_SD (nt)</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58</w:t>
      </w:r>
      <w:r>
        <w:rPr>
          <w:rFonts w:hint="default" w:ascii="Times New Roman" w:hAnsi="Times New Roman" w:cs="Times New Roman"/>
          <w:sz w:val="24"/>
          <w:szCs w:val="24"/>
        </w:rPr>
        <w:tab/>
      </w:r>
      <w:r>
        <w:rPr>
          <w:rFonts w:hint="default" w:ascii="Times New Roman" w:hAnsi="Times New Roman" w:cs="Times New Roman"/>
          <w:sz w:val="24"/>
          <w:szCs w:val="24"/>
        </w:rPr>
        <w:t xml:space="preserve">                  Lower</w:t>
      </w:r>
      <w:r>
        <w:rPr>
          <w:rFonts w:hint="default" w:ascii="Times New Roman" w:hAnsi="Times New Roman" w:cs="Times New Roman"/>
          <w:sz w:val="24"/>
          <w:szCs w:val="24"/>
        </w:rPr>
        <w:tab/>
      </w:r>
      <w:r>
        <w:rPr>
          <w:rFonts w:hint="default" w:ascii="Times New Roman" w:hAnsi="Times New Roman" w:cs="Times New Roman"/>
          <w:sz w:val="24"/>
          <w:szCs w:val="24"/>
        </w:rPr>
        <w:t>110</w:t>
      </w:r>
      <w:r>
        <w:rPr>
          <w:rFonts w:hint="default" w:ascii="Times New Roman" w:hAnsi="Times New Roman" w:cs="Times New Roman"/>
          <w:sz w:val="24"/>
          <w:szCs w:val="24"/>
        </w:rPr>
        <w:tab/>
      </w:r>
      <w:r>
        <w:rPr>
          <w:rFonts w:hint="default" w:ascii="Times New Roman" w:hAnsi="Times New Roman" w:cs="Times New Roman"/>
          <w:sz w:val="24"/>
          <w:szCs w:val="24"/>
        </w:rPr>
        <w:t xml:space="preserve"> 61.29</w:t>
      </w:r>
      <w:r>
        <w:rPr>
          <w:rFonts w:hint="default" w:ascii="Times New Roman" w:hAnsi="Times New Roman" w:cs="Times New Roman"/>
          <w:sz w:val="24"/>
          <w:szCs w:val="24"/>
        </w:rPr>
        <w:tab/>
      </w:r>
      <w:r>
        <w:rPr>
          <w:rFonts w:hint="default" w:ascii="Times New Roman" w:hAnsi="Times New Roman" w:cs="Times New Roman"/>
          <w:sz w:val="24"/>
          <w:szCs w:val="24"/>
        </w:rPr>
        <w:t xml:space="preserve">              +3.29</w:t>
      </w:r>
      <w:r>
        <w:rPr>
          <w:rFonts w:hint="default" w:ascii="Times New Roman" w:hAnsi="Times New Roman" w:cs="Times New Roman"/>
          <w:sz w:val="24"/>
          <w:szCs w:val="24"/>
        </w:rPr>
        <w:tab/>
      </w:r>
      <w:r>
        <w:rPr>
          <w:rFonts w:hint="default" w:ascii="Times New Roman" w:hAnsi="Times New Roman" w:cs="Times New Roman"/>
          <w:sz w:val="24"/>
          <w:szCs w:val="24"/>
        </w:rPr>
        <w:t xml:space="preserve">                 0.933</w:t>
      </w:r>
      <w:r>
        <w:rPr>
          <w:rFonts w:hint="default" w:ascii="Times New Roman" w:hAnsi="Times New Roman" w:cs="Times New Roman"/>
          <w:sz w:val="24"/>
          <w:szCs w:val="24"/>
        </w:rPr>
        <w:tab/>
      </w:r>
      <w:r>
        <w:rPr>
          <w:rFonts w:hint="default" w:ascii="Times New Roman" w:hAnsi="Times New Roman" w:cs="Times New Roman"/>
          <w:sz w:val="24"/>
          <w:szCs w:val="24"/>
        </w:rPr>
        <w:t xml:space="preserve">    0.113</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68</w:t>
      </w:r>
      <w:r>
        <w:rPr>
          <w:rFonts w:hint="default" w:ascii="Times New Roman" w:hAnsi="Times New Roman" w:cs="Times New Roman"/>
          <w:sz w:val="24"/>
          <w:szCs w:val="24"/>
        </w:rPr>
        <w:tab/>
      </w:r>
      <w:r>
        <w:rPr>
          <w:rFonts w:hint="default" w:ascii="Times New Roman" w:hAnsi="Times New Roman" w:cs="Times New Roman"/>
          <w:sz w:val="24"/>
          <w:szCs w:val="24"/>
        </w:rPr>
        <w:t xml:space="preserve">                  Lower</w:t>
      </w:r>
      <w:r>
        <w:rPr>
          <w:rFonts w:hint="default" w:ascii="Times New Roman" w:hAnsi="Times New Roman" w:cs="Times New Roman"/>
          <w:sz w:val="24"/>
          <w:szCs w:val="24"/>
        </w:rPr>
        <w:tab/>
      </w:r>
      <w:r>
        <w:rPr>
          <w:rFonts w:hint="default" w:ascii="Times New Roman" w:hAnsi="Times New Roman" w:cs="Times New Roman"/>
          <w:sz w:val="24"/>
          <w:szCs w:val="24"/>
        </w:rPr>
        <w:t>120</w:t>
      </w:r>
      <w:r>
        <w:rPr>
          <w:rFonts w:hint="default" w:ascii="Times New Roman" w:hAnsi="Times New Roman" w:cs="Times New Roman"/>
          <w:sz w:val="24"/>
          <w:szCs w:val="24"/>
        </w:rPr>
        <w:tab/>
      </w:r>
      <w:r>
        <w:rPr>
          <w:rFonts w:hint="default" w:ascii="Times New Roman" w:hAnsi="Times New Roman" w:cs="Times New Roman"/>
          <w:sz w:val="24"/>
          <w:szCs w:val="24"/>
        </w:rPr>
        <w:t xml:space="preserve"> 68.16</w:t>
      </w:r>
      <w:r>
        <w:rPr>
          <w:rFonts w:hint="default" w:ascii="Times New Roman" w:hAnsi="Times New Roman" w:cs="Times New Roman"/>
          <w:sz w:val="24"/>
          <w:szCs w:val="24"/>
        </w:rPr>
        <w:tab/>
      </w:r>
      <w:r>
        <w:rPr>
          <w:rFonts w:hint="default" w:ascii="Times New Roman" w:hAnsi="Times New Roman" w:cs="Times New Roman"/>
          <w:sz w:val="24"/>
          <w:szCs w:val="24"/>
        </w:rPr>
        <w:t xml:space="preserve">              +0.16</w:t>
      </w:r>
      <w:r>
        <w:rPr>
          <w:rFonts w:hint="default" w:ascii="Times New Roman" w:hAnsi="Times New Roman" w:cs="Times New Roman"/>
          <w:sz w:val="24"/>
          <w:szCs w:val="24"/>
        </w:rPr>
        <w:tab/>
      </w:r>
      <w:r>
        <w:rPr>
          <w:rFonts w:hint="default" w:ascii="Times New Roman" w:hAnsi="Times New Roman" w:cs="Times New Roman"/>
          <w:sz w:val="24"/>
          <w:szCs w:val="24"/>
        </w:rPr>
        <w:t xml:space="preserve">                 1.859</w:t>
      </w:r>
      <w:r>
        <w:rPr>
          <w:rFonts w:hint="default" w:ascii="Times New Roman" w:hAnsi="Times New Roman" w:cs="Times New Roman"/>
          <w:sz w:val="24"/>
          <w:szCs w:val="24"/>
        </w:rPr>
        <w:tab/>
      </w:r>
      <w:r>
        <w:rPr>
          <w:rFonts w:hint="default" w:ascii="Times New Roman" w:hAnsi="Times New Roman" w:cs="Times New Roman"/>
          <w:sz w:val="24"/>
          <w:szCs w:val="24"/>
        </w:rPr>
        <w:t xml:space="preserve">    0.283</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78</w:t>
      </w:r>
      <w:r>
        <w:rPr>
          <w:rFonts w:hint="default" w:ascii="Times New Roman" w:hAnsi="Times New Roman" w:cs="Times New Roman"/>
          <w:sz w:val="24"/>
          <w:szCs w:val="24"/>
        </w:rPr>
        <w:tab/>
      </w:r>
      <w:r>
        <w:rPr>
          <w:rFonts w:hint="default" w:ascii="Times New Roman" w:hAnsi="Times New Roman" w:cs="Times New Roman"/>
          <w:sz w:val="24"/>
          <w:szCs w:val="24"/>
        </w:rPr>
        <w:t xml:space="preserve">                  Lower</w:t>
      </w:r>
      <w:r>
        <w:rPr>
          <w:rFonts w:hint="default" w:ascii="Times New Roman" w:hAnsi="Times New Roman" w:cs="Times New Roman"/>
          <w:sz w:val="24"/>
          <w:szCs w:val="24"/>
        </w:rPr>
        <w:tab/>
      </w:r>
      <w:r>
        <w:rPr>
          <w:rFonts w:hint="default" w:ascii="Times New Roman" w:hAnsi="Times New Roman" w:cs="Times New Roman"/>
          <w:sz w:val="24"/>
          <w:szCs w:val="24"/>
        </w:rPr>
        <w:t>110</w:t>
      </w:r>
      <w:r>
        <w:rPr>
          <w:rFonts w:hint="default" w:ascii="Times New Roman" w:hAnsi="Times New Roman" w:cs="Times New Roman"/>
          <w:sz w:val="24"/>
          <w:szCs w:val="24"/>
        </w:rPr>
        <w:tab/>
      </w:r>
      <w:r>
        <w:rPr>
          <w:rFonts w:hint="default" w:ascii="Times New Roman" w:hAnsi="Times New Roman" w:cs="Times New Roman"/>
          <w:sz w:val="24"/>
          <w:szCs w:val="24"/>
        </w:rPr>
        <w:t xml:space="preserve"> 78.38</w:t>
      </w:r>
      <w:r>
        <w:rPr>
          <w:rFonts w:hint="default" w:ascii="Times New Roman" w:hAnsi="Times New Roman" w:cs="Times New Roman"/>
          <w:sz w:val="24"/>
          <w:szCs w:val="24"/>
        </w:rPr>
        <w:tab/>
      </w:r>
      <w:r>
        <w:rPr>
          <w:rFonts w:hint="default" w:ascii="Times New Roman" w:hAnsi="Times New Roman" w:cs="Times New Roman"/>
          <w:sz w:val="24"/>
          <w:szCs w:val="24"/>
        </w:rPr>
        <w:t xml:space="preserve">              +0.38</w:t>
      </w:r>
      <w:r>
        <w:rPr>
          <w:rFonts w:hint="default" w:ascii="Times New Roman" w:hAnsi="Times New Roman" w:cs="Times New Roman"/>
          <w:sz w:val="24"/>
          <w:szCs w:val="24"/>
        </w:rPr>
        <w:tab/>
      </w:r>
      <w:r>
        <w:rPr>
          <w:rFonts w:hint="default" w:ascii="Times New Roman" w:hAnsi="Times New Roman" w:cs="Times New Roman"/>
          <w:sz w:val="24"/>
          <w:szCs w:val="24"/>
        </w:rPr>
        <w:t xml:space="preserve">                 2.257</w:t>
      </w:r>
      <w:r>
        <w:rPr>
          <w:rFonts w:hint="default" w:ascii="Times New Roman" w:hAnsi="Times New Roman" w:cs="Times New Roman"/>
          <w:sz w:val="24"/>
          <w:szCs w:val="24"/>
        </w:rPr>
        <w:tab/>
      </w:r>
      <w:r>
        <w:rPr>
          <w:rFonts w:hint="default" w:ascii="Times New Roman" w:hAnsi="Times New Roman" w:cs="Times New Roman"/>
          <w:sz w:val="24"/>
          <w:szCs w:val="24"/>
        </w:rPr>
        <w:t xml:space="preserve">    0.354</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87</w:t>
      </w:r>
      <w:r>
        <w:rPr>
          <w:rFonts w:hint="default" w:ascii="Times New Roman" w:hAnsi="Times New Roman" w:cs="Times New Roman"/>
          <w:sz w:val="24"/>
          <w:szCs w:val="24"/>
        </w:rPr>
        <w:tab/>
      </w:r>
      <w:r>
        <w:rPr>
          <w:rFonts w:hint="default" w:ascii="Times New Roman" w:hAnsi="Times New Roman" w:cs="Times New Roman"/>
          <w:sz w:val="24"/>
          <w:szCs w:val="24"/>
        </w:rPr>
        <w:t xml:space="preserve">                  Lower</w:t>
      </w:r>
      <w:r>
        <w:rPr>
          <w:rFonts w:hint="default" w:ascii="Times New Roman" w:hAnsi="Times New Roman" w:cs="Times New Roman"/>
          <w:sz w:val="24"/>
          <w:szCs w:val="24"/>
        </w:rPr>
        <w:tab/>
      </w:r>
      <w:r>
        <w:rPr>
          <w:rFonts w:hint="default" w:ascii="Times New Roman" w:hAnsi="Times New Roman" w:cs="Times New Roman"/>
          <w:sz w:val="24"/>
          <w:szCs w:val="24"/>
        </w:rPr>
        <w:t>120</w:t>
      </w:r>
      <w:r>
        <w:rPr>
          <w:rFonts w:hint="default" w:ascii="Times New Roman" w:hAnsi="Times New Roman" w:cs="Times New Roman"/>
          <w:sz w:val="24"/>
          <w:szCs w:val="24"/>
        </w:rPr>
        <w:tab/>
      </w:r>
      <w:r>
        <w:rPr>
          <w:rFonts w:hint="default" w:ascii="Times New Roman" w:hAnsi="Times New Roman" w:cs="Times New Roman"/>
          <w:sz w:val="24"/>
          <w:szCs w:val="24"/>
        </w:rPr>
        <w:t xml:space="preserve"> 86.67</w:t>
      </w:r>
      <w:r>
        <w:rPr>
          <w:rFonts w:hint="default" w:ascii="Times New Roman" w:hAnsi="Times New Roman" w:cs="Times New Roman"/>
          <w:sz w:val="24"/>
          <w:szCs w:val="24"/>
        </w:rPr>
        <w:tab/>
      </w:r>
      <w:r>
        <w:rPr>
          <w:rFonts w:hint="default" w:ascii="Times New Roman" w:hAnsi="Times New Roman" w:cs="Times New Roman"/>
          <w:sz w:val="24"/>
          <w:szCs w:val="24"/>
        </w:rPr>
        <w:t xml:space="preserve">              −0.33</w:t>
      </w:r>
      <w:r>
        <w:rPr>
          <w:rFonts w:hint="default" w:ascii="Times New Roman" w:hAnsi="Times New Roman" w:cs="Times New Roman"/>
          <w:sz w:val="24"/>
          <w:szCs w:val="24"/>
        </w:rPr>
        <w:tab/>
      </w:r>
      <w:r>
        <w:rPr>
          <w:rFonts w:hint="default" w:ascii="Times New Roman" w:hAnsi="Times New Roman" w:cs="Times New Roman"/>
          <w:sz w:val="24"/>
          <w:szCs w:val="24"/>
        </w:rPr>
        <w:t xml:space="preserve">                 1.163</w:t>
      </w:r>
      <w:r>
        <w:rPr>
          <w:rFonts w:hint="default" w:ascii="Times New Roman" w:hAnsi="Times New Roman" w:cs="Times New Roman"/>
          <w:sz w:val="24"/>
          <w:szCs w:val="24"/>
        </w:rPr>
        <w:tab/>
      </w:r>
      <w:r>
        <w:rPr>
          <w:rFonts w:hint="default" w:ascii="Times New Roman" w:hAnsi="Times New Roman" w:cs="Times New Roman"/>
          <w:sz w:val="24"/>
          <w:szCs w:val="24"/>
        </w:rPr>
        <w:t xml:space="preserve">    0.321</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98</w:t>
      </w:r>
      <w:r>
        <w:rPr>
          <w:rFonts w:hint="default" w:ascii="Times New Roman" w:hAnsi="Times New Roman" w:cs="Times New Roman"/>
          <w:sz w:val="24"/>
          <w:szCs w:val="24"/>
        </w:rPr>
        <w:tab/>
      </w:r>
      <w:r>
        <w:rPr>
          <w:rFonts w:hint="default" w:ascii="Times New Roman" w:hAnsi="Times New Roman" w:cs="Times New Roman"/>
          <w:sz w:val="24"/>
          <w:szCs w:val="24"/>
        </w:rPr>
        <w:t xml:space="preserve">                  Lower</w:t>
      </w:r>
      <w:r>
        <w:rPr>
          <w:rFonts w:hint="default" w:ascii="Times New Roman" w:hAnsi="Times New Roman" w:cs="Times New Roman"/>
          <w:sz w:val="24"/>
          <w:szCs w:val="24"/>
        </w:rPr>
        <w:tab/>
      </w:r>
      <w:r>
        <w:rPr>
          <w:rFonts w:hint="default" w:ascii="Times New Roman" w:hAnsi="Times New Roman" w:cs="Times New Roman"/>
          <w:sz w:val="24"/>
          <w:szCs w:val="24"/>
        </w:rPr>
        <w:t>120</w:t>
      </w:r>
      <w:r>
        <w:rPr>
          <w:rFonts w:hint="default" w:ascii="Times New Roman" w:hAnsi="Times New Roman" w:cs="Times New Roman"/>
          <w:sz w:val="24"/>
          <w:szCs w:val="24"/>
        </w:rPr>
        <w:tab/>
      </w:r>
      <w:r>
        <w:rPr>
          <w:rFonts w:hint="default" w:ascii="Times New Roman" w:hAnsi="Times New Roman" w:cs="Times New Roman"/>
          <w:sz w:val="24"/>
          <w:szCs w:val="24"/>
        </w:rPr>
        <w:t xml:space="preserve"> 97.53</w:t>
      </w:r>
      <w:r>
        <w:rPr>
          <w:rFonts w:hint="default" w:ascii="Times New Roman" w:hAnsi="Times New Roman" w:cs="Times New Roman"/>
          <w:sz w:val="24"/>
          <w:szCs w:val="24"/>
        </w:rPr>
        <w:tab/>
      </w:r>
      <w:r>
        <w:rPr>
          <w:rFonts w:hint="default" w:ascii="Times New Roman" w:hAnsi="Times New Roman" w:cs="Times New Roman"/>
          <w:sz w:val="24"/>
          <w:szCs w:val="24"/>
        </w:rPr>
        <w:t xml:space="preserve">              −0.47</w:t>
      </w:r>
      <w:r>
        <w:rPr>
          <w:rFonts w:hint="default" w:ascii="Times New Roman" w:hAnsi="Times New Roman" w:cs="Times New Roman"/>
          <w:sz w:val="24"/>
          <w:szCs w:val="24"/>
        </w:rPr>
        <w:tab/>
      </w:r>
      <w:r>
        <w:rPr>
          <w:rFonts w:hint="default" w:ascii="Times New Roman" w:hAnsi="Times New Roman" w:cs="Times New Roman"/>
          <w:sz w:val="24"/>
          <w:szCs w:val="24"/>
        </w:rPr>
        <w:t xml:space="preserve">                 1.323</w:t>
      </w:r>
      <w:r>
        <w:rPr>
          <w:rFonts w:hint="default" w:ascii="Times New Roman" w:hAnsi="Times New Roman" w:cs="Times New Roman"/>
          <w:sz w:val="24"/>
          <w:szCs w:val="24"/>
        </w:rPr>
        <w:tab/>
      </w:r>
      <w:r>
        <w:rPr>
          <w:rFonts w:hint="default" w:ascii="Times New Roman" w:hAnsi="Times New Roman" w:cs="Times New Roman"/>
          <w:sz w:val="24"/>
          <w:szCs w:val="24"/>
        </w:rPr>
        <w:t xml:space="preserve">    0.148</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107</w:t>
      </w:r>
      <w:r>
        <w:rPr>
          <w:rFonts w:hint="default" w:ascii="Times New Roman" w:hAnsi="Times New Roman" w:cs="Times New Roman"/>
          <w:sz w:val="24"/>
          <w:szCs w:val="24"/>
        </w:rPr>
        <w:tab/>
      </w:r>
      <w:r>
        <w:rPr>
          <w:rFonts w:hint="default" w:ascii="Times New Roman" w:hAnsi="Times New Roman" w:cs="Times New Roman"/>
          <w:sz w:val="24"/>
          <w:szCs w:val="24"/>
        </w:rPr>
        <w:t xml:space="preserve">       Lower</w:t>
      </w:r>
      <w:r>
        <w:rPr>
          <w:rFonts w:hint="default" w:ascii="Times New Roman" w:hAnsi="Times New Roman" w:cs="Times New Roman"/>
          <w:sz w:val="24"/>
          <w:szCs w:val="24"/>
        </w:rPr>
        <w:tab/>
      </w:r>
      <w:r>
        <w:rPr>
          <w:rFonts w:hint="default" w:ascii="Times New Roman" w:hAnsi="Times New Roman" w:cs="Times New Roman"/>
          <w:sz w:val="24"/>
          <w:szCs w:val="24"/>
        </w:rPr>
        <w:t>105</w:t>
      </w:r>
      <w:r>
        <w:rPr>
          <w:rFonts w:hint="default" w:ascii="Times New Roman" w:hAnsi="Times New Roman" w:cs="Times New Roman"/>
          <w:sz w:val="24"/>
          <w:szCs w:val="24"/>
        </w:rPr>
        <w:tab/>
      </w:r>
      <w:r>
        <w:rPr>
          <w:rFonts w:hint="default" w:ascii="Times New Roman" w:hAnsi="Times New Roman" w:cs="Times New Roman"/>
          <w:sz w:val="24"/>
          <w:szCs w:val="24"/>
        </w:rPr>
        <w:t xml:space="preserve"> 106.28</w:t>
      </w:r>
      <w:r>
        <w:rPr>
          <w:rFonts w:hint="default" w:ascii="Times New Roman" w:hAnsi="Times New Roman" w:cs="Times New Roman"/>
          <w:sz w:val="24"/>
          <w:szCs w:val="24"/>
        </w:rPr>
        <w:tab/>
      </w:r>
      <w:r>
        <w:rPr>
          <w:rFonts w:hint="default" w:ascii="Times New Roman" w:hAnsi="Times New Roman" w:cs="Times New Roman"/>
          <w:sz w:val="24"/>
          <w:szCs w:val="24"/>
        </w:rPr>
        <w:t xml:space="preserve">  −0.72</w:t>
      </w:r>
      <w:r>
        <w:rPr>
          <w:rFonts w:hint="default" w:ascii="Times New Roman" w:hAnsi="Times New Roman" w:cs="Times New Roman"/>
          <w:sz w:val="24"/>
          <w:szCs w:val="24"/>
        </w:rPr>
        <w:tab/>
      </w:r>
      <w:r>
        <w:rPr>
          <w:rFonts w:hint="default" w:ascii="Times New Roman" w:hAnsi="Times New Roman" w:cs="Times New Roman"/>
          <w:sz w:val="24"/>
          <w:szCs w:val="24"/>
        </w:rPr>
        <w:t xml:space="preserve">                 1.535</w:t>
      </w:r>
      <w:r>
        <w:rPr>
          <w:rFonts w:hint="default" w:ascii="Times New Roman" w:hAnsi="Times New Roman" w:cs="Times New Roman"/>
          <w:sz w:val="24"/>
          <w:szCs w:val="24"/>
        </w:rPr>
        <w:tab/>
      </w:r>
      <w:r>
        <w:rPr>
          <w:rFonts w:hint="default" w:ascii="Times New Roman" w:hAnsi="Times New Roman" w:cs="Times New Roman"/>
          <w:sz w:val="24"/>
          <w:szCs w:val="24"/>
        </w:rPr>
        <w:t xml:space="preserve">    0.344</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119</w:t>
      </w:r>
      <w:r>
        <w:rPr>
          <w:rFonts w:hint="default" w:ascii="Times New Roman" w:hAnsi="Times New Roman" w:cs="Times New Roman"/>
          <w:sz w:val="24"/>
          <w:szCs w:val="24"/>
        </w:rPr>
        <w:tab/>
      </w:r>
      <w:r>
        <w:rPr>
          <w:rFonts w:hint="default" w:ascii="Times New Roman" w:hAnsi="Times New Roman" w:cs="Times New Roman"/>
          <w:sz w:val="24"/>
          <w:szCs w:val="24"/>
        </w:rPr>
        <w:t xml:space="preserve">                  Lower</w:t>
      </w:r>
      <w:r>
        <w:rPr>
          <w:rFonts w:hint="default" w:ascii="Times New Roman" w:hAnsi="Times New Roman" w:cs="Times New Roman"/>
          <w:sz w:val="24"/>
          <w:szCs w:val="24"/>
        </w:rPr>
        <w:tab/>
      </w:r>
      <w:r>
        <w:rPr>
          <w:rFonts w:hint="default" w:ascii="Times New Roman" w:hAnsi="Times New Roman" w:cs="Times New Roman"/>
          <w:sz w:val="24"/>
          <w:szCs w:val="24"/>
        </w:rPr>
        <w:t>115</w:t>
      </w:r>
      <w:r>
        <w:rPr>
          <w:rFonts w:hint="default" w:ascii="Times New Roman" w:hAnsi="Times New Roman" w:cs="Times New Roman"/>
          <w:sz w:val="24"/>
          <w:szCs w:val="24"/>
        </w:rPr>
        <w:tab/>
      </w:r>
      <w:r>
        <w:rPr>
          <w:rFonts w:hint="default" w:ascii="Times New Roman" w:hAnsi="Times New Roman" w:cs="Times New Roman"/>
          <w:sz w:val="24"/>
          <w:szCs w:val="24"/>
        </w:rPr>
        <w:t xml:space="preserve"> 120.02</w:t>
      </w:r>
      <w:r>
        <w:rPr>
          <w:rFonts w:hint="default" w:ascii="Times New Roman" w:hAnsi="Times New Roman" w:cs="Times New Roman"/>
          <w:sz w:val="24"/>
          <w:szCs w:val="24"/>
        </w:rPr>
        <w:tab/>
      </w:r>
      <w:r>
        <w:rPr>
          <w:rFonts w:hint="default" w:ascii="Times New Roman" w:hAnsi="Times New Roman" w:cs="Times New Roman"/>
          <w:sz w:val="24"/>
          <w:szCs w:val="24"/>
        </w:rPr>
        <w:t xml:space="preserve">  +1.02</w:t>
      </w:r>
      <w:r>
        <w:rPr>
          <w:rFonts w:hint="default" w:ascii="Times New Roman" w:hAnsi="Times New Roman" w:cs="Times New Roman"/>
          <w:sz w:val="24"/>
          <w:szCs w:val="24"/>
        </w:rPr>
        <w:tab/>
      </w:r>
      <w:r>
        <w:rPr>
          <w:rFonts w:hint="default" w:ascii="Times New Roman" w:hAnsi="Times New Roman" w:cs="Times New Roman"/>
          <w:sz w:val="24"/>
          <w:szCs w:val="24"/>
        </w:rPr>
        <w:t xml:space="preserve">                 1.047</w:t>
      </w:r>
      <w:r>
        <w:rPr>
          <w:rFonts w:hint="default" w:ascii="Times New Roman" w:hAnsi="Times New Roman" w:cs="Times New Roman"/>
          <w:sz w:val="24"/>
          <w:szCs w:val="24"/>
        </w:rPr>
        <w:tab/>
      </w:r>
      <w:r>
        <w:rPr>
          <w:rFonts w:hint="default" w:ascii="Times New Roman" w:hAnsi="Times New Roman" w:cs="Times New Roman"/>
          <w:sz w:val="24"/>
          <w:szCs w:val="24"/>
        </w:rPr>
        <w:t xml:space="preserve">    0.139</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123</w:t>
      </w:r>
      <w:r>
        <w:rPr>
          <w:rFonts w:hint="default" w:ascii="Times New Roman" w:hAnsi="Times New Roman" w:cs="Times New Roman"/>
          <w:sz w:val="24"/>
          <w:szCs w:val="24"/>
        </w:rPr>
        <w:tab/>
      </w:r>
      <w:r>
        <w:rPr>
          <w:rFonts w:hint="default" w:ascii="Times New Roman" w:hAnsi="Times New Roman" w:cs="Times New Roman"/>
          <w:sz w:val="24"/>
          <w:szCs w:val="24"/>
        </w:rPr>
        <w:t xml:space="preserve">       Lower</w:t>
      </w:r>
      <w:r>
        <w:rPr>
          <w:rFonts w:hint="default" w:ascii="Times New Roman" w:hAnsi="Times New Roman" w:cs="Times New Roman"/>
          <w:sz w:val="24"/>
          <w:szCs w:val="24"/>
        </w:rPr>
        <w:tab/>
      </w:r>
      <w:r>
        <w:rPr>
          <w:rFonts w:hint="default" w:ascii="Times New Roman" w:hAnsi="Times New Roman" w:cs="Times New Roman"/>
          <w:sz w:val="24"/>
          <w:szCs w:val="24"/>
        </w:rPr>
        <w:t>110</w:t>
      </w:r>
      <w:r>
        <w:rPr>
          <w:rFonts w:hint="default" w:ascii="Times New Roman" w:hAnsi="Times New Roman" w:cs="Times New Roman"/>
          <w:sz w:val="24"/>
          <w:szCs w:val="24"/>
        </w:rPr>
        <w:tab/>
      </w:r>
      <w:r>
        <w:rPr>
          <w:rFonts w:hint="default" w:ascii="Times New Roman" w:hAnsi="Times New Roman" w:cs="Times New Roman"/>
          <w:sz w:val="24"/>
          <w:szCs w:val="24"/>
        </w:rPr>
        <w:t xml:space="preserve"> 122.71</w:t>
      </w:r>
      <w:r>
        <w:rPr>
          <w:rFonts w:hint="default" w:ascii="Times New Roman" w:hAnsi="Times New Roman" w:cs="Times New Roman"/>
          <w:sz w:val="24"/>
          <w:szCs w:val="24"/>
        </w:rPr>
        <w:tab/>
      </w:r>
      <w:r>
        <w:rPr>
          <w:rFonts w:hint="default" w:ascii="Times New Roman" w:hAnsi="Times New Roman" w:cs="Times New Roman"/>
          <w:sz w:val="24"/>
          <w:szCs w:val="24"/>
        </w:rPr>
        <w:t xml:space="preserve">  −0.29</w:t>
      </w:r>
      <w:r>
        <w:rPr>
          <w:rFonts w:hint="default" w:ascii="Times New Roman" w:hAnsi="Times New Roman" w:cs="Times New Roman"/>
          <w:sz w:val="24"/>
          <w:szCs w:val="24"/>
        </w:rPr>
        <w:tab/>
      </w:r>
      <w:r>
        <w:rPr>
          <w:rFonts w:hint="default" w:ascii="Times New Roman" w:hAnsi="Times New Roman" w:cs="Times New Roman"/>
          <w:sz w:val="24"/>
          <w:szCs w:val="24"/>
        </w:rPr>
        <w:t xml:space="preserve">                 1.322</w:t>
      </w:r>
      <w:r>
        <w:rPr>
          <w:rFonts w:hint="default" w:ascii="Times New Roman" w:hAnsi="Times New Roman" w:cs="Times New Roman"/>
          <w:sz w:val="24"/>
          <w:szCs w:val="24"/>
        </w:rPr>
        <w:tab/>
      </w:r>
      <w:r>
        <w:rPr>
          <w:rFonts w:hint="default" w:ascii="Times New Roman" w:hAnsi="Times New Roman" w:cs="Times New Roman"/>
          <w:sz w:val="24"/>
          <w:szCs w:val="24"/>
        </w:rPr>
        <w:t xml:space="preserve">    0.288</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126</w:t>
      </w:r>
      <w:r>
        <w:rPr>
          <w:rFonts w:hint="default" w:ascii="Times New Roman" w:hAnsi="Times New Roman" w:cs="Times New Roman"/>
          <w:sz w:val="24"/>
          <w:szCs w:val="24"/>
        </w:rPr>
        <w:tab/>
      </w:r>
      <w:r>
        <w:rPr>
          <w:rFonts w:hint="default" w:ascii="Times New Roman" w:hAnsi="Times New Roman" w:cs="Times New Roman"/>
          <w:sz w:val="24"/>
          <w:szCs w:val="24"/>
        </w:rPr>
        <w:t xml:space="preserve">       Lower</w:t>
      </w:r>
      <w:r>
        <w:rPr>
          <w:rFonts w:hint="default" w:ascii="Times New Roman" w:hAnsi="Times New Roman" w:cs="Times New Roman"/>
          <w:sz w:val="24"/>
          <w:szCs w:val="24"/>
        </w:rPr>
        <w:tab/>
      </w:r>
      <w:r>
        <w:rPr>
          <w:rFonts w:hint="default" w:ascii="Times New Roman" w:hAnsi="Times New Roman" w:cs="Times New Roman"/>
          <w:sz w:val="24"/>
          <w:szCs w:val="24"/>
        </w:rPr>
        <w:t>100</w:t>
      </w:r>
      <w:r>
        <w:rPr>
          <w:rFonts w:hint="default" w:ascii="Times New Roman" w:hAnsi="Times New Roman" w:cs="Times New Roman"/>
          <w:sz w:val="24"/>
          <w:szCs w:val="24"/>
        </w:rPr>
        <w:tab/>
      </w:r>
      <w:r>
        <w:rPr>
          <w:rFonts w:hint="default" w:ascii="Times New Roman" w:hAnsi="Times New Roman" w:cs="Times New Roman"/>
          <w:sz w:val="24"/>
          <w:szCs w:val="24"/>
        </w:rPr>
        <w:t xml:space="preserve"> 125.71</w:t>
      </w:r>
      <w:r>
        <w:rPr>
          <w:rFonts w:hint="default" w:ascii="Times New Roman" w:hAnsi="Times New Roman" w:cs="Times New Roman"/>
          <w:sz w:val="24"/>
          <w:szCs w:val="24"/>
        </w:rPr>
        <w:tab/>
      </w:r>
      <w:r>
        <w:rPr>
          <w:rFonts w:hint="default" w:ascii="Times New Roman" w:hAnsi="Times New Roman" w:cs="Times New Roman"/>
          <w:sz w:val="24"/>
          <w:szCs w:val="24"/>
        </w:rPr>
        <w:t xml:space="preserve">  −0.29</w:t>
      </w:r>
      <w:r>
        <w:rPr>
          <w:rFonts w:hint="default" w:ascii="Times New Roman" w:hAnsi="Times New Roman" w:cs="Times New Roman"/>
          <w:sz w:val="24"/>
          <w:szCs w:val="24"/>
        </w:rPr>
        <w:tab/>
      </w:r>
      <w:r>
        <w:rPr>
          <w:rFonts w:hint="default" w:ascii="Times New Roman" w:hAnsi="Times New Roman" w:cs="Times New Roman"/>
          <w:sz w:val="24"/>
          <w:szCs w:val="24"/>
        </w:rPr>
        <w:t xml:space="preserve">                 1.010</w:t>
      </w:r>
      <w:r>
        <w:rPr>
          <w:rFonts w:hint="default" w:ascii="Times New Roman" w:hAnsi="Times New Roman" w:cs="Times New Roman"/>
          <w:sz w:val="24"/>
          <w:szCs w:val="24"/>
        </w:rPr>
        <w:tab/>
      </w:r>
      <w:r>
        <w:rPr>
          <w:rFonts w:hint="default" w:ascii="Times New Roman" w:hAnsi="Times New Roman" w:cs="Times New Roman"/>
          <w:sz w:val="24"/>
          <w:szCs w:val="24"/>
        </w:rPr>
        <w:t xml:space="preserve">    0.024</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Lower domain mean</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             1,010                +0.306</w:t>
      </w:r>
      <w:r>
        <w:rPr>
          <w:rFonts w:hint="default" w:ascii="Times New Roman" w:hAnsi="Times New Roman" w:cs="Times New Roman"/>
          <w:sz w:val="24"/>
          <w:szCs w:val="24"/>
        </w:rPr>
        <w:tab/>
      </w:r>
      <w:r>
        <w:rPr>
          <w:rFonts w:hint="default" w:ascii="Times New Roman" w:hAnsi="Times New Roman" w:cs="Times New Roman"/>
          <w:sz w:val="24"/>
          <w:szCs w:val="24"/>
        </w:rPr>
        <w:t xml:space="preserve">     1.383</w:t>
      </w:r>
      <w:r>
        <w:rPr>
          <w:rFonts w:hint="default" w:ascii="Times New Roman" w:hAnsi="Times New Roman" w:cs="Times New Roman"/>
          <w:sz w:val="24"/>
          <w:szCs w:val="24"/>
        </w:rPr>
        <w:tab/>
      </w:r>
      <w:r>
        <w:rPr>
          <w:rFonts w:hint="default" w:ascii="Times New Roman" w:hAnsi="Times New Roman" w:cs="Times New Roman"/>
          <w:sz w:val="24"/>
          <w:szCs w:val="24"/>
        </w:rPr>
        <w:t xml:space="preserve">    0.224</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200</w:t>
      </w:r>
      <w:r>
        <w:rPr>
          <w:rFonts w:hint="default" w:ascii="Times New Roman" w:hAnsi="Times New Roman" w:cs="Times New Roman"/>
          <w:sz w:val="24"/>
          <w:szCs w:val="24"/>
        </w:rPr>
        <w:tab/>
      </w:r>
      <w:r>
        <w:rPr>
          <w:rFonts w:hint="default" w:ascii="Times New Roman" w:hAnsi="Times New Roman" w:cs="Times New Roman"/>
          <w:sz w:val="24"/>
          <w:szCs w:val="24"/>
        </w:rPr>
        <w:t xml:space="preserve">       Upper</w:t>
      </w:r>
      <w:r>
        <w:rPr>
          <w:rFonts w:hint="default" w:ascii="Times New Roman" w:hAnsi="Times New Roman" w:cs="Times New Roman"/>
          <w:sz w:val="24"/>
          <w:szCs w:val="24"/>
        </w:rPr>
        <w:tab/>
      </w:r>
      <w:r>
        <w:rPr>
          <w:rFonts w:hint="default" w:ascii="Times New Roman" w:hAnsi="Times New Roman" w:cs="Times New Roman"/>
          <w:sz w:val="24"/>
          <w:szCs w:val="24"/>
        </w:rPr>
        <w:t>105</w:t>
      </w:r>
      <w:r>
        <w:rPr>
          <w:rFonts w:hint="default" w:ascii="Times New Roman" w:hAnsi="Times New Roman" w:cs="Times New Roman"/>
          <w:sz w:val="24"/>
          <w:szCs w:val="24"/>
        </w:rPr>
        <w:tab/>
      </w:r>
      <w:r>
        <w:rPr>
          <w:rFonts w:hint="default" w:ascii="Times New Roman" w:hAnsi="Times New Roman" w:cs="Times New Roman"/>
          <w:sz w:val="24"/>
          <w:szCs w:val="24"/>
        </w:rPr>
        <w:t xml:space="preserve"> 200.55</w:t>
      </w:r>
      <w:r>
        <w:rPr>
          <w:rFonts w:hint="default" w:ascii="Times New Roman" w:hAnsi="Times New Roman" w:cs="Times New Roman"/>
          <w:sz w:val="24"/>
          <w:szCs w:val="24"/>
        </w:rPr>
        <w:tab/>
      </w:r>
      <w:r>
        <w:rPr>
          <w:rFonts w:hint="default" w:ascii="Times New Roman" w:hAnsi="Times New Roman" w:cs="Times New Roman"/>
          <w:sz w:val="24"/>
          <w:szCs w:val="24"/>
        </w:rPr>
        <w:t xml:space="preserve">   +0.55</w:t>
      </w:r>
      <w:r>
        <w:rPr>
          <w:rFonts w:hint="default" w:ascii="Times New Roman" w:hAnsi="Times New Roman" w:cs="Times New Roman"/>
          <w:sz w:val="24"/>
          <w:szCs w:val="24"/>
        </w:rPr>
        <w:tab/>
      </w:r>
      <w:r>
        <w:rPr>
          <w:rFonts w:hint="default" w:ascii="Times New Roman" w:hAnsi="Times New Roman" w:cs="Times New Roman"/>
          <w:sz w:val="24"/>
          <w:szCs w:val="24"/>
        </w:rPr>
        <w:t xml:space="preserve">     2.615</w:t>
      </w:r>
      <w:r>
        <w:rPr>
          <w:rFonts w:hint="default" w:ascii="Times New Roman" w:hAnsi="Times New Roman" w:cs="Times New Roman"/>
          <w:sz w:val="24"/>
          <w:szCs w:val="24"/>
        </w:rPr>
        <w:tab/>
      </w:r>
      <w:r>
        <w:rPr>
          <w:rFonts w:hint="default" w:ascii="Times New Roman" w:hAnsi="Times New Roman" w:cs="Times New Roman"/>
          <w:sz w:val="24"/>
          <w:szCs w:val="24"/>
        </w:rPr>
        <w:t xml:space="preserve">    0.062</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204</w:t>
      </w:r>
      <w:r>
        <w:rPr>
          <w:rFonts w:hint="default" w:ascii="Times New Roman" w:hAnsi="Times New Roman" w:cs="Times New Roman"/>
          <w:sz w:val="24"/>
          <w:szCs w:val="24"/>
        </w:rPr>
        <w:tab/>
      </w:r>
      <w:r>
        <w:rPr>
          <w:rFonts w:hint="default" w:ascii="Times New Roman" w:hAnsi="Times New Roman" w:cs="Times New Roman"/>
          <w:sz w:val="24"/>
          <w:szCs w:val="24"/>
        </w:rPr>
        <w:t xml:space="preserve">       Upper</w:t>
      </w:r>
      <w:r>
        <w:rPr>
          <w:rFonts w:hint="default" w:ascii="Times New Roman" w:hAnsi="Times New Roman" w:cs="Times New Roman"/>
          <w:sz w:val="24"/>
          <w:szCs w:val="24"/>
        </w:rPr>
        <w:tab/>
      </w:r>
      <w:r>
        <w:rPr>
          <w:rFonts w:hint="default" w:ascii="Times New Roman" w:hAnsi="Times New Roman" w:cs="Times New Roman"/>
          <w:sz w:val="24"/>
          <w:szCs w:val="24"/>
        </w:rPr>
        <w:t>120</w:t>
      </w:r>
      <w:r>
        <w:rPr>
          <w:rFonts w:hint="default" w:ascii="Times New Roman" w:hAnsi="Times New Roman" w:cs="Times New Roman"/>
          <w:sz w:val="24"/>
          <w:szCs w:val="24"/>
        </w:rPr>
        <w:tab/>
      </w:r>
      <w:r>
        <w:rPr>
          <w:rFonts w:hint="default" w:ascii="Times New Roman" w:hAnsi="Times New Roman" w:cs="Times New Roman"/>
          <w:sz w:val="24"/>
          <w:szCs w:val="24"/>
        </w:rPr>
        <w:t xml:space="preserve"> 203.45</w:t>
      </w:r>
      <w:r>
        <w:rPr>
          <w:rFonts w:hint="default" w:ascii="Times New Roman" w:hAnsi="Times New Roman" w:cs="Times New Roman"/>
          <w:sz w:val="24"/>
          <w:szCs w:val="24"/>
        </w:rPr>
        <w:tab/>
      </w:r>
      <w:r>
        <w:rPr>
          <w:rFonts w:hint="default" w:ascii="Times New Roman" w:hAnsi="Times New Roman" w:cs="Times New Roman"/>
          <w:sz w:val="24"/>
          <w:szCs w:val="24"/>
        </w:rPr>
        <w:t xml:space="preserve">   −0.55</w:t>
      </w:r>
      <w:r>
        <w:rPr>
          <w:rFonts w:hint="default" w:ascii="Times New Roman" w:hAnsi="Times New Roman" w:cs="Times New Roman"/>
          <w:sz w:val="24"/>
          <w:szCs w:val="24"/>
        </w:rPr>
        <w:tab/>
      </w:r>
      <w:r>
        <w:rPr>
          <w:rFonts w:hint="default" w:ascii="Times New Roman" w:hAnsi="Times New Roman" w:cs="Times New Roman"/>
          <w:sz w:val="24"/>
          <w:szCs w:val="24"/>
        </w:rPr>
        <w:t xml:space="preserve">     1.005</w:t>
      </w:r>
      <w:r>
        <w:rPr>
          <w:rFonts w:hint="default" w:ascii="Times New Roman" w:hAnsi="Times New Roman" w:cs="Times New Roman"/>
          <w:sz w:val="24"/>
          <w:szCs w:val="24"/>
        </w:rPr>
        <w:tab/>
      </w:r>
      <w:r>
        <w:rPr>
          <w:rFonts w:hint="default" w:ascii="Times New Roman" w:hAnsi="Times New Roman" w:cs="Times New Roman"/>
          <w:sz w:val="24"/>
          <w:szCs w:val="24"/>
        </w:rPr>
        <w:t xml:space="preserve">    0.193</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208</w:t>
      </w:r>
      <w:r>
        <w:rPr>
          <w:rFonts w:hint="default" w:ascii="Times New Roman" w:hAnsi="Times New Roman" w:cs="Times New Roman"/>
          <w:sz w:val="24"/>
          <w:szCs w:val="24"/>
        </w:rPr>
        <w:tab/>
      </w:r>
      <w:r>
        <w:rPr>
          <w:rFonts w:hint="default" w:ascii="Times New Roman" w:hAnsi="Times New Roman" w:cs="Times New Roman"/>
          <w:sz w:val="24"/>
          <w:szCs w:val="24"/>
        </w:rPr>
        <w:t xml:space="preserve">       Upper</w:t>
      </w:r>
      <w:r>
        <w:rPr>
          <w:rFonts w:hint="default" w:ascii="Times New Roman" w:hAnsi="Times New Roman" w:cs="Times New Roman"/>
          <w:sz w:val="24"/>
          <w:szCs w:val="24"/>
        </w:rPr>
        <w:tab/>
      </w:r>
      <w:r>
        <w:rPr>
          <w:rFonts w:hint="default" w:ascii="Times New Roman" w:hAnsi="Times New Roman" w:cs="Times New Roman"/>
          <w:sz w:val="24"/>
          <w:szCs w:val="24"/>
        </w:rPr>
        <w:t>120</w:t>
      </w:r>
      <w:r>
        <w:rPr>
          <w:rFonts w:hint="default" w:ascii="Times New Roman" w:hAnsi="Times New Roman" w:cs="Times New Roman"/>
          <w:sz w:val="24"/>
          <w:szCs w:val="24"/>
        </w:rPr>
        <w:tab/>
      </w:r>
      <w:r>
        <w:rPr>
          <w:rFonts w:hint="default" w:ascii="Times New Roman" w:hAnsi="Times New Roman" w:cs="Times New Roman"/>
          <w:sz w:val="24"/>
          <w:szCs w:val="24"/>
        </w:rPr>
        <w:t xml:space="preserve"> 207.07</w:t>
      </w:r>
      <w:r>
        <w:rPr>
          <w:rFonts w:hint="default" w:ascii="Times New Roman" w:hAnsi="Times New Roman" w:cs="Times New Roman"/>
          <w:sz w:val="24"/>
          <w:szCs w:val="24"/>
        </w:rPr>
        <w:tab/>
      </w:r>
      <w:r>
        <w:rPr>
          <w:rFonts w:hint="default" w:ascii="Times New Roman" w:hAnsi="Times New Roman" w:cs="Times New Roman"/>
          <w:sz w:val="24"/>
          <w:szCs w:val="24"/>
        </w:rPr>
        <w:t xml:space="preserve">   −0.93</w:t>
      </w:r>
      <w:r>
        <w:rPr>
          <w:rFonts w:hint="default" w:ascii="Times New Roman" w:hAnsi="Times New Roman" w:cs="Times New Roman"/>
          <w:sz w:val="24"/>
          <w:szCs w:val="24"/>
        </w:rPr>
        <w:tab/>
      </w:r>
      <w:r>
        <w:rPr>
          <w:rFonts w:hint="default" w:ascii="Times New Roman" w:hAnsi="Times New Roman" w:cs="Times New Roman"/>
          <w:sz w:val="24"/>
          <w:szCs w:val="24"/>
        </w:rPr>
        <w:t xml:space="preserve">     1.275</w:t>
      </w:r>
      <w:r>
        <w:rPr>
          <w:rFonts w:hint="default" w:ascii="Times New Roman" w:hAnsi="Times New Roman" w:cs="Times New Roman"/>
          <w:sz w:val="24"/>
          <w:szCs w:val="24"/>
        </w:rPr>
        <w:tab/>
      </w:r>
      <w:r>
        <w:rPr>
          <w:rFonts w:hint="default" w:ascii="Times New Roman" w:hAnsi="Times New Roman" w:cs="Times New Roman"/>
          <w:sz w:val="24"/>
          <w:szCs w:val="24"/>
        </w:rPr>
        <w:t xml:space="preserve">    0.074</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299</w:t>
      </w:r>
      <w:r>
        <w:rPr>
          <w:rFonts w:hint="default" w:ascii="Times New Roman" w:hAnsi="Times New Roman" w:cs="Times New Roman"/>
          <w:sz w:val="24"/>
          <w:szCs w:val="24"/>
        </w:rPr>
        <w:tab/>
      </w:r>
      <w:r>
        <w:rPr>
          <w:rFonts w:hint="default" w:ascii="Times New Roman" w:hAnsi="Times New Roman" w:cs="Times New Roman"/>
          <w:sz w:val="24"/>
          <w:szCs w:val="24"/>
        </w:rPr>
        <w:t xml:space="preserve">       Upper</w:t>
      </w:r>
      <w:r>
        <w:rPr>
          <w:rFonts w:hint="default" w:ascii="Times New Roman" w:hAnsi="Times New Roman" w:cs="Times New Roman"/>
          <w:sz w:val="24"/>
          <w:szCs w:val="24"/>
        </w:rPr>
        <w:tab/>
      </w:r>
      <w:r>
        <w:rPr>
          <w:rFonts w:hint="default" w:ascii="Times New Roman" w:hAnsi="Times New Roman" w:cs="Times New Roman"/>
          <w:sz w:val="24"/>
          <w:szCs w:val="24"/>
        </w:rPr>
        <w:t>120</w:t>
      </w:r>
      <w:r>
        <w:rPr>
          <w:rFonts w:hint="default" w:ascii="Times New Roman" w:hAnsi="Times New Roman" w:cs="Times New Roman"/>
          <w:sz w:val="24"/>
          <w:szCs w:val="24"/>
        </w:rPr>
        <w:tab/>
      </w:r>
      <w:r>
        <w:rPr>
          <w:rFonts w:hint="default" w:ascii="Times New Roman" w:hAnsi="Times New Roman" w:cs="Times New Roman"/>
          <w:sz w:val="24"/>
          <w:szCs w:val="24"/>
        </w:rPr>
        <w:t xml:space="preserve"> 301.02</w:t>
      </w:r>
      <w:r>
        <w:rPr>
          <w:rFonts w:hint="default" w:ascii="Times New Roman" w:hAnsi="Times New Roman" w:cs="Times New Roman"/>
          <w:sz w:val="24"/>
          <w:szCs w:val="24"/>
        </w:rPr>
        <w:tab/>
      </w:r>
      <w:r>
        <w:rPr>
          <w:rFonts w:hint="default" w:ascii="Times New Roman" w:hAnsi="Times New Roman" w:cs="Times New Roman"/>
          <w:sz w:val="24"/>
          <w:szCs w:val="24"/>
        </w:rPr>
        <w:t xml:space="preserve">   +2.02</w:t>
      </w:r>
      <w:r>
        <w:rPr>
          <w:rFonts w:hint="default" w:ascii="Times New Roman" w:hAnsi="Times New Roman" w:cs="Times New Roman"/>
          <w:sz w:val="24"/>
          <w:szCs w:val="24"/>
        </w:rPr>
        <w:tab/>
      </w:r>
      <w:r>
        <w:rPr>
          <w:rFonts w:hint="default" w:ascii="Times New Roman" w:hAnsi="Times New Roman" w:cs="Times New Roman"/>
          <w:sz w:val="24"/>
          <w:szCs w:val="24"/>
        </w:rPr>
        <w:t xml:space="preserve">     1.081</w:t>
      </w:r>
      <w:r>
        <w:rPr>
          <w:rFonts w:hint="default" w:ascii="Times New Roman" w:hAnsi="Times New Roman" w:cs="Times New Roman"/>
          <w:sz w:val="24"/>
          <w:szCs w:val="24"/>
        </w:rPr>
        <w:tab/>
      </w:r>
      <w:r>
        <w:rPr>
          <w:rFonts w:hint="default" w:ascii="Times New Roman" w:hAnsi="Times New Roman" w:cs="Times New Roman"/>
          <w:sz w:val="24"/>
          <w:szCs w:val="24"/>
        </w:rPr>
        <w:t xml:space="preserve">    0.039</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305</w:t>
      </w:r>
      <w:r>
        <w:rPr>
          <w:rFonts w:hint="default" w:ascii="Times New Roman" w:hAnsi="Times New Roman" w:cs="Times New Roman"/>
          <w:sz w:val="24"/>
          <w:szCs w:val="24"/>
        </w:rPr>
        <w:tab/>
      </w:r>
      <w:r>
        <w:rPr>
          <w:rFonts w:hint="default" w:ascii="Times New Roman" w:hAnsi="Times New Roman" w:cs="Times New Roman"/>
          <w:sz w:val="24"/>
          <w:szCs w:val="24"/>
        </w:rPr>
        <w:t xml:space="preserve">       Upper</w:t>
      </w:r>
      <w:r>
        <w:rPr>
          <w:rFonts w:hint="default" w:ascii="Times New Roman" w:hAnsi="Times New Roman" w:cs="Times New Roman"/>
          <w:sz w:val="24"/>
          <w:szCs w:val="24"/>
        </w:rPr>
        <w:tab/>
      </w:r>
      <w:r>
        <w:rPr>
          <w:rFonts w:hint="default" w:ascii="Times New Roman" w:hAnsi="Times New Roman" w:cs="Times New Roman"/>
          <w:sz w:val="24"/>
          <w:szCs w:val="24"/>
        </w:rPr>
        <w:t>90</w:t>
      </w:r>
      <w:r>
        <w:rPr>
          <w:rFonts w:hint="default" w:ascii="Times New Roman" w:hAnsi="Times New Roman" w:cs="Times New Roman"/>
          <w:sz w:val="24"/>
          <w:szCs w:val="24"/>
        </w:rPr>
        <w:tab/>
      </w:r>
      <w:r>
        <w:rPr>
          <w:rFonts w:hint="default" w:ascii="Times New Roman" w:hAnsi="Times New Roman" w:cs="Times New Roman"/>
          <w:sz w:val="24"/>
          <w:szCs w:val="24"/>
        </w:rPr>
        <w:t xml:space="preserve"> 305.63</w:t>
      </w:r>
      <w:r>
        <w:rPr>
          <w:rFonts w:hint="default" w:ascii="Times New Roman" w:hAnsi="Times New Roman" w:cs="Times New Roman"/>
          <w:sz w:val="24"/>
          <w:szCs w:val="24"/>
        </w:rPr>
        <w:tab/>
      </w:r>
      <w:r>
        <w:rPr>
          <w:rFonts w:hint="default" w:ascii="Times New Roman" w:hAnsi="Times New Roman" w:cs="Times New Roman"/>
          <w:sz w:val="24"/>
          <w:szCs w:val="24"/>
        </w:rPr>
        <w:t xml:space="preserve">   +0.63</w:t>
      </w:r>
      <w:r>
        <w:rPr>
          <w:rFonts w:hint="default" w:ascii="Times New Roman" w:hAnsi="Times New Roman" w:cs="Times New Roman"/>
          <w:sz w:val="24"/>
          <w:szCs w:val="24"/>
        </w:rPr>
        <w:tab/>
      </w:r>
      <w:r>
        <w:rPr>
          <w:rFonts w:hint="default" w:ascii="Times New Roman" w:hAnsi="Times New Roman" w:cs="Times New Roman"/>
          <w:sz w:val="24"/>
          <w:szCs w:val="24"/>
        </w:rPr>
        <w:t xml:space="preserve">     1.655</w:t>
      </w:r>
      <w:r>
        <w:rPr>
          <w:rFonts w:hint="default" w:ascii="Times New Roman" w:hAnsi="Times New Roman" w:cs="Times New Roman"/>
          <w:sz w:val="24"/>
          <w:szCs w:val="24"/>
        </w:rPr>
        <w:tab/>
      </w:r>
      <w:r>
        <w:rPr>
          <w:rFonts w:hint="default" w:ascii="Times New Roman" w:hAnsi="Times New Roman" w:cs="Times New Roman"/>
          <w:sz w:val="24"/>
          <w:szCs w:val="24"/>
        </w:rPr>
        <w:t xml:space="preserve">    0.107</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309</w:t>
      </w:r>
      <w:r>
        <w:rPr>
          <w:rFonts w:hint="default" w:ascii="Times New Roman" w:hAnsi="Times New Roman" w:cs="Times New Roman"/>
          <w:sz w:val="24"/>
          <w:szCs w:val="24"/>
        </w:rPr>
        <w:tab/>
      </w:r>
      <w:r>
        <w:rPr>
          <w:rFonts w:hint="default" w:ascii="Times New Roman" w:hAnsi="Times New Roman" w:cs="Times New Roman"/>
          <w:sz w:val="24"/>
          <w:szCs w:val="24"/>
        </w:rPr>
        <w:t xml:space="preserve">       Upper</w:t>
      </w:r>
      <w:r>
        <w:rPr>
          <w:rFonts w:hint="default" w:ascii="Times New Roman" w:hAnsi="Times New Roman" w:cs="Times New Roman"/>
          <w:sz w:val="24"/>
          <w:szCs w:val="24"/>
        </w:rPr>
        <w:tab/>
      </w:r>
      <w:r>
        <w:rPr>
          <w:rFonts w:hint="default" w:ascii="Times New Roman" w:hAnsi="Times New Roman" w:cs="Times New Roman"/>
          <w:sz w:val="24"/>
          <w:szCs w:val="24"/>
        </w:rPr>
        <w:t>117</w:t>
      </w:r>
      <w:r>
        <w:rPr>
          <w:rFonts w:hint="default" w:ascii="Times New Roman" w:hAnsi="Times New Roman" w:cs="Times New Roman"/>
          <w:sz w:val="24"/>
          <w:szCs w:val="24"/>
        </w:rPr>
        <w:tab/>
      </w:r>
      <w:r>
        <w:rPr>
          <w:rFonts w:hint="default" w:ascii="Times New Roman" w:hAnsi="Times New Roman" w:cs="Times New Roman"/>
          <w:sz w:val="24"/>
          <w:szCs w:val="24"/>
        </w:rPr>
        <w:t xml:space="preserve"> 308.43</w:t>
      </w:r>
      <w:r>
        <w:rPr>
          <w:rFonts w:hint="default" w:ascii="Times New Roman" w:hAnsi="Times New Roman" w:cs="Times New Roman"/>
          <w:sz w:val="24"/>
          <w:szCs w:val="24"/>
        </w:rPr>
        <w:tab/>
      </w:r>
      <w:r>
        <w:rPr>
          <w:rFonts w:hint="default" w:ascii="Times New Roman" w:hAnsi="Times New Roman" w:cs="Times New Roman"/>
          <w:sz w:val="24"/>
          <w:szCs w:val="24"/>
        </w:rPr>
        <w:t xml:space="preserve">   −0.57</w:t>
      </w:r>
      <w:r>
        <w:rPr>
          <w:rFonts w:hint="default" w:ascii="Times New Roman" w:hAnsi="Times New Roman" w:cs="Times New Roman"/>
          <w:sz w:val="24"/>
          <w:szCs w:val="24"/>
        </w:rPr>
        <w:tab/>
      </w:r>
      <w:r>
        <w:rPr>
          <w:rFonts w:hint="default" w:ascii="Times New Roman" w:hAnsi="Times New Roman" w:cs="Times New Roman"/>
          <w:sz w:val="24"/>
          <w:szCs w:val="24"/>
        </w:rPr>
        <w:t xml:space="preserve">     1.624</w:t>
      </w:r>
      <w:r>
        <w:rPr>
          <w:rFonts w:hint="default" w:ascii="Times New Roman" w:hAnsi="Times New Roman" w:cs="Times New Roman"/>
          <w:sz w:val="24"/>
          <w:szCs w:val="24"/>
        </w:rPr>
        <w:tab/>
      </w:r>
      <w:r>
        <w:rPr>
          <w:rFonts w:hint="default" w:ascii="Times New Roman" w:hAnsi="Times New Roman" w:cs="Times New Roman"/>
          <w:sz w:val="24"/>
          <w:szCs w:val="24"/>
        </w:rPr>
        <w:t xml:space="preserve">    0.054</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400</w:t>
      </w:r>
      <w:r>
        <w:rPr>
          <w:rFonts w:hint="default" w:ascii="Times New Roman" w:hAnsi="Times New Roman" w:cs="Times New Roman"/>
          <w:sz w:val="24"/>
          <w:szCs w:val="24"/>
        </w:rPr>
        <w:tab/>
      </w:r>
      <w:r>
        <w:rPr>
          <w:rFonts w:hint="default" w:ascii="Times New Roman" w:hAnsi="Times New Roman" w:cs="Times New Roman"/>
          <w:sz w:val="24"/>
          <w:szCs w:val="24"/>
        </w:rPr>
        <w:t xml:space="preserve">       Upper</w:t>
      </w:r>
      <w:r>
        <w:rPr>
          <w:rFonts w:hint="default" w:ascii="Times New Roman" w:hAnsi="Times New Roman" w:cs="Times New Roman"/>
          <w:sz w:val="24"/>
          <w:szCs w:val="24"/>
        </w:rPr>
        <w:tab/>
      </w:r>
      <w:r>
        <w:rPr>
          <w:rFonts w:hint="default" w:ascii="Times New Roman" w:hAnsi="Times New Roman" w:cs="Times New Roman"/>
          <w:sz w:val="24"/>
          <w:szCs w:val="24"/>
        </w:rPr>
        <w:t>120</w:t>
      </w:r>
      <w:r>
        <w:rPr>
          <w:rFonts w:hint="default" w:ascii="Times New Roman" w:hAnsi="Times New Roman" w:cs="Times New Roman"/>
          <w:sz w:val="24"/>
          <w:szCs w:val="24"/>
        </w:rPr>
        <w:tab/>
      </w:r>
      <w:r>
        <w:rPr>
          <w:rFonts w:hint="default" w:ascii="Times New Roman" w:hAnsi="Times New Roman" w:cs="Times New Roman"/>
          <w:sz w:val="24"/>
          <w:szCs w:val="24"/>
        </w:rPr>
        <w:t xml:space="preserve"> 402.19</w:t>
      </w:r>
      <w:r>
        <w:rPr>
          <w:rFonts w:hint="default" w:ascii="Times New Roman" w:hAnsi="Times New Roman" w:cs="Times New Roman"/>
          <w:sz w:val="24"/>
          <w:szCs w:val="24"/>
        </w:rPr>
        <w:tab/>
      </w:r>
      <w:r>
        <w:rPr>
          <w:rFonts w:hint="default" w:ascii="Times New Roman" w:hAnsi="Times New Roman" w:cs="Times New Roman"/>
          <w:sz w:val="24"/>
          <w:szCs w:val="24"/>
        </w:rPr>
        <w:t xml:space="preserve">   +2.19</w:t>
      </w:r>
      <w:r>
        <w:rPr>
          <w:rFonts w:hint="default" w:ascii="Times New Roman" w:hAnsi="Times New Roman" w:cs="Times New Roman"/>
          <w:sz w:val="24"/>
          <w:szCs w:val="24"/>
        </w:rPr>
        <w:tab/>
      </w:r>
      <w:r>
        <w:rPr>
          <w:rFonts w:hint="default" w:ascii="Times New Roman" w:hAnsi="Times New Roman" w:cs="Times New Roman"/>
          <w:sz w:val="24"/>
          <w:szCs w:val="24"/>
        </w:rPr>
        <w:t xml:space="preserve">     0.845</w:t>
      </w:r>
      <w:r>
        <w:rPr>
          <w:rFonts w:hint="default" w:ascii="Times New Roman" w:hAnsi="Times New Roman" w:cs="Times New Roman"/>
          <w:sz w:val="24"/>
          <w:szCs w:val="24"/>
        </w:rPr>
        <w:tab/>
      </w:r>
      <w:r>
        <w:rPr>
          <w:rFonts w:hint="default" w:ascii="Times New Roman" w:hAnsi="Times New Roman" w:cs="Times New Roman"/>
          <w:sz w:val="24"/>
          <w:szCs w:val="24"/>
        </w:rPr>
        <w:t xml:space="preserve">    0.056</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405</w:t>
      </w:r>
      <w:r>
        <w:rPr>
          <w:rFonts w:hint="default" w:ascii="Times New Roman" w:hAnsi="Times New Roman" w:cs="Times New Roman"/>
          <w:sz w:val="24"/>
          <w:szCs w:val="24"/>
        </w:rPr>
        <w:tab/>
      </w:r>
      <w:r>
        <w:rPr>
          <w:rFonts w:hint="default" w:ascii="Times New Roman" w:hAnsi="Times New Roman" w:cs="Times New Roman"/>
          <w:sz w:val="24"/>
          <w:szCs w:val="24"/>
        </w:rPr>
        <w:t xml:space="preserve">       Upper</w:t>
      </w:r>
      <w:r>
        <w:rPr>
          <w:rFonts w:hint="default" w:ascii="Times New Roman" w:hAnsi="Times New Roman" w:cs="Times New Roman"/>
          <w:sz w:val="24"/>
          <w:szCs w:val="24"/>
        </w:rPr>
        <w:tab/>
      </w:r>
      <w:r>
        <w:rPr>
          <w:rFonts w:hint="default" w:ascii="Times New Roman" w:hAnsi="Times New Roman" w:cs="Times New Roman"/>
          <w:sz w:val="24"/>
          <w:szCs w:val="24"/>
        </w:rPr>
        <w:t>105</w:t>
      </w:r>
      <w:r>
        <w:rPr>
          <w:rFonts w:hint="default" w:ascii="Times New Roman" w:hAnsi="Times New Roman" w:cs="Times New Roman"/>
          <w:sz w:val="24"/>
          <w:szCs w:val="24"/>
        </w:rPr>
        <w:tab/>
      </w:r>
      <w:r>
        <w:rPr>
          <w:rFonts w:hint="default" w:ascii="Times New Roman" w:hAnsi="Times New Roman" w:cs="Times New Roman"/>
          <w:sz w:val="24"/>
          <w:szCs w:val="24"/>
        </w:rPr>
        <w:t xml:space="preserve"> 404.59</w:t>
      </w:r>
      <w:r>
        <w:rPr>
          <w:rFonts w:hint="default" w:ascii="Times New Roman" w:hAnsi="Times New Roman" w:cs="Times New Roman"/>
          <w:sz w:val="24"/>
          <w:szCs w:val="24"/>
        </w:rPr>
        <w:tab/>
      </w:r>
      <w:r>
        <w:rPr>
          <w:rFonts w:hint="default" w:ascii="Times New Roman" w:hAnsi="Times New Roman" w:cs="Times New Roman"/>
          <w:sz w:val="24"/>
          <w:szCs w:val="24"/>
        </w:rPr>
        <w:t xml:space="preserve">   −0.41</w:t>
      </w:r>
      <w:r>
        <w:rPr>
          <w:rFonts w:hint="default" w:ascii="Times New Roman" w:hAnsi="Times New Roman" w:cs="Times New Roman"/>
          <w:sz w:val="24"/>
          <w:szCs w:val="24"/>
        </w:rPr>
        <w:tab/>
      </w:r>
      <w:r>
        <w:rPr>
          <w:rFonts w:hint="default" w:ascii="Times New Roman" w:hAnsi="Times New Roman" w:cs="Times New Roman"/>
          <w:sz w:val="24"/>
          <w:szCs w:val="24"/>
        </w:rPr>
        <w:t xml:space="preserve">     1.551</w:t>
      </w:r>
      <w:r>
        <w:rPr>
          <w:rFonts w:hint="default" w:ascii="Times New Roman" w:hAnsi="Times New Roman" w:cs="Times New Roman"/>
          <w:sz w:val="24"/>
          <w:szCs w:val="24"/>
        </w:rPr>
        <w:tab/>
      </w:r>
      <w:r>
        <w:rPr>
          <w:rFonts w:hint="default" w:ascii="Times New Roman" w:hAnsi="Times New Roman" w:cs="Times New Roman"/>
          <w:sz w:val="24"/>
          <w:szCs w:val="24"/>
        </w:rPr>
        <w:t xml:space="preserve">    0.170</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410</w:t>
      </w:r>
      <w:r>
        <w:rPr>
          <w:rFonts w:hint="default" w:ascii="Times New Roman" w:hAnsi="Times New Roman" w:cs="Times New Roman"/>
          <w:sz w:val="24"/>
          <w:szCs w:val="24"/>
        </w:rPr>
        <w:tab/>
      </w:r>
      <w:r>
        <w:rPr>
          <w:rFonts w:hint="default" w:ascii="Times New Roman" w:hAnsi="Times New Roman" w:cs="Times New Roman"/>
          <w:sz w:val="24"/>
          <w:szCs w:val="24"/>
        </w:rPr>
        <w:t xml:space="preserve">       Upper</w:t>
      </w:r>
      <w:r>
        <w:rPr>
          <w:rFonts w:hint="default" w:ascii="Times New Roman" w:hAnsi="Times New Roman" w:cs="Times New Roman"/>
          <w:sz w:val="24"/>
          <w:szCs w:val="24"/>
        </w:rPr>
        <w:tab/>
      </w:r>
      <w:r>
        <w:rPr>
          <w:rFonts w:hint="default" w:ascii="Times New Roman" w:hAnsi="Times New Roman" w:cs="Times New Roman"/>
          <w:sz w:val="24"/>
          <w:szCs w:val="24"/>
        </w:rPr>
        <w:t>119</w:t>
      </w:r>
      <w:r>
        <w:rPr>
          <w:rFonts w:hint="default" w:ascii="Times New Roman" w:hAnsi="Times New Roman" w:cs="Times New Roman"/>
          <w:sz w:val="24"/>
          <w:szCs w:val="24"/>
        </w:rPr>
        <w:tab/>
      </w:r>
      <w:r>
        <w:rPr>
          <w:rFonts w:hint="default" w:ascii="Times New Roman" w:hAnsi="Times New Roman" w:cs="Times New Roman"/>
          <w:sz w:val="24"/>
          <w:szCs w:val="24"/>
        </w:rPr>
        <w:t xml:space="preserve"> 409.06</w:t>
      </w:r>
      <w:r>
        <w:rPr>
          <w:rFonts w:hint="default" w:ascii="Times New Roman" w:hAnsi="Times New Roman" w:cs="Times New Roman"/>
          <w:sz w:val="24"/>
          <w:szCs w:val="24"/>
        </w:rPr>
        <w:tab/>
      </w:r>
      <w:r>
        <w:rPr>
          <w:rFonts w:hint="default" w:ascii="Times New Roman" w:hAnsi="Times New Roman" w:cs="Times New Roman"/>
          <w:sz w:val="24"/>
          <w:szCs w:val="24"/>
        </w:rPr>
        <w:t xml:space="preserve">   −0.94</w:t>
      </w:r>
      <w:r>
        <w:rPr>
          <w:rFonts w:hint="default" w:ascii="Times New Roman" w:hAnsi="Times New Roman" w:cs="Times New Roman"/>
          <w:sz w:val="24"/>
          <w:szCs w:val="24"/>
        </w:rPr>
        <w:tab/>
      </w:r>
      <w:r>
        <w:rPr>
          <w:rFonts w:hint="default" w:ascii="Times New Roman" w:hAnsi="Times New Roman" w:cs="Times New Roman"/>
          <w:sz w:val="24"/>
          <w:szCs w:val="24"/>
        </w:rPr>
        <w:t xml:space="preserve">     1.618</w:t>
      </w:r>
      <w:r>
        <w:rPr>
          <w:rFonts w:hint="default" w:ascii="Times New Roman" w:hAnsi="Times New Roman" w:cs="Times New Roman"/>
          <w:sz w:val="24"/>
          <w:szCs w:val="24"/>
        </w:rPr>
        <w:tab/>
      </w:r>
      <w:r>
        <w:rPr>
          <w:rFonts w:hint="default" w:ascii="Times New Roman" w:hAnsi="Times New Roman" w:cs="Times New Roman"/>
          <w:sz w:val="24"/>
          <w:szCs w:val="24"/>
        </w:rPr>
        <w:t xml:space="preserve">    0.068</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rPr>
        <w:t>Upper domain mean</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1,016</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+0.220</w:t>
      </w:r>
      <w:r>
        <w:rPr>
          <w:rFonts w:hint="default" w:ascii="Times New Roman" w:hAnsi="Times New Roman" w:cs="Times New Roman"/>
        </w:rPr>
        <w:tab/>
      </w:r>
      <w:r>
        <w:rPr>
          <w:rFonts w:hint="default" w:ascii="Times New Roman" w:hAnsi="Times New Roman" w:cs="Times New Roman"/>
        </w:rPr>
        <w:t xml:space="preserve">     1.492</w:t>
      </w:r>
      <w:r>
        <w:rPr>
          <w:rFonts w:hint="default" w:ascii="Times New Roman" w:hAnsi="Times New Roman" w:cs="Times New Roman"/>
        </w:rPr>
        <w:tab/>
      </w:r>
      <w:r>
        <w:rPr>
          <w:rFonts w:hint="default" w:ascii="Times New Roman" w:hAnsi="Times New Roman" w:cs="Times New Roman"/>
        </w:rPr>
        <w:t xml:space="preserve">    0.091</w:t>
      </w:r>
    </w:p>
    <w:p>
      <w:pPr>
        <w:spacing w:after="10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Global mean</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 xml:space="preserve">                        2,026</w:t>
      </w:r>
      <w:r>
        <w:rPr>
          <w:rFonts w:hint="default" w:ascii="Times New Roman" w:hAnsi="Times New Roman" w:cs="Times New Roman"/>
          <w:sz w:val="24"/>
          <w:szCs w:val="24"/>
        </w:rPr>
        <w:tab/>
      </w:r>
      <w:r>
        <w:rPr>
          <w:rFonts w:hint="default" w:ascii="Times New Roman" w:hAnsi="Times New Roman" w:cs="Times New Roman"/>
          <w:sz w:val="24"/>
          <w:szCs w:val="24"/>
        </w:rPr>
        <w:t xml:space="preserve"> </w:t>
      </w:r>
      <w:r>
        <w:rPr>
          <w:rFonts w:hint="default" w:ascii="Times New Roman" w:hAnsi="Times New Roman" w:cs="Times New Roman"/>
          <w:sz w:val="24"/>
          <w:szCs w:val="24"/>
        </w:rPr>
        <w:tab/>
      </w:r>
      <w:r>
        <w:rPr>
          <w:rFonts w:hint="default" w:ascii="Times New Roman" w:hAnsi="Times New Roman" w:cs="Times New Roman"/>
          <w:sz w:val="24"/>
          <w:szCs w:val="24"/>
        </w:rPr>
        <w:t xml:space="preserve">   +0.263</w:t>
      </w:r>
      <w:r>
        <w:rPr>
          <w:rFonts w:hint="default" w:ascii="Times New Roman" w:hAnsi="Times New Roman" w:cs="Times New Roman"/>
          <w:sz w:val="24"/>
          <w:szCs w:val="24"/>
        </w:rPr>
        <w:tab/>
      </w:r>
      <w:r>
        <w:rPr>
          <w:rFonts w:hint="default" w:ascii="Times New Roman" w:hAnsi="Times New Roman" w:cs="Times New Roman"/>
          <w:sz w:val="24"/>
          <w:szCs w:val="24"/>
        </w:rPr>
        <w:t xml:space="preserve">     1.4</w:t>
      </w:r>
      <w:r>
        <w:rPr>
          <w:rFonts w:hint="default" w:ascii="Times New Roman" w:hAnsi="Times New Roman" w:cs="Times New Roman"/>
          <w:sz w:val="24"/>
          <w:szCs w:val="24"/>
          <w:lang w:val="en-US"/>
        </w:rPr>
        <w:t>98</w:t>
      </w:r>
      <w:r>
        <w:rPr>
          <w:rFonts w:hint="default" w:ascii="Times New Roman" w:hAnsi="Times New Roman" w:cs="Times New Roman"/>
          <w:sz w:val="24"/>
          <w:szCs w:val="24"/>
        </w:rPr>
        <w:tab/>
      </w:r>
      <w:r>
        <w:rPr>
          <w:rFonts w:hint="default" w:ascii="Times New Roman" w:hAnsi="Times New Roman" w:cs="Times New Roman"/>
          <w:sz w:val="24"/>
          <w:szCs w:val="24"/>
        </w:rPr>
        <w:t xml:space="preserve">    0.158</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Bias = mean observed − nominal (nt). WR_SD = within-run SD from all 120 wells; BR_SD = between-run SD from per-run means in 80 size standard (ROX-only) wells (CLSI EP05-Ed4, 2025).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Domain-level means are n-weighted and computed from unrounded per-observation values; apparent discrepancies with simple averages of displayed per-fragment biases reflect rounding of table entries to two decimal places. The elevated positive bias at 58 nt (+3.29 nt) reflects the well-documented non-linear electrophoretic mobility of very short ssDNA fragments (&lt;65 nt) at the lower resolution boundary of sieving polymer CE, attributable to end-effects and incomplete denaturation of secondary structures (Butler, 2012). This does not propagate to probe amplicon sizing, which begins at 200 nt.</w:t>
      </w:r>
    </w:p>
    <w:p>
      <w:pPr>
        <w:pStyle w:val="49"/>
        <w:numPr>
          <w:ilvl w:val="3"/>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Domain definition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18 retained fragments partition into two analytically distinct size domains, identified empirically from the retained fragment distribution: a 74 nt detection gap (126→200 nt) in which no MRC-550 fragment satisfies the retention criteria defines the boundary. The lower domain (58–126 nt, nine fragments) co-localises with the P095 QC probe amplicon size range; the upper domain (200–410 nt, nine fragments) spans the P095 target probe analytical range (MRC Holland, version A4-06). Domain boundaries were therefore determined by the data, not imposed arbitrarily.</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Sizing Accuracy: Global Bias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global mean sizing bias across the 18 retained fragments was +0.263 nt (95% CI: −0.327 to +0.853 nt; one-sample t = 0.940, df = 17, p = 0.360), indicating a small positive tendency toward overestimation of observed fragment size relative to nominal that does not reach statistical significance at the fragment level. The absolute magnitude of +0.263 nt is well within the generally accepted ±1 nt absolute sizing accuracy limits for capillary electrophoresis-based fragment analysis, and is consistent with the systematic calibration offsets reported in CE-based MLPA workflows (Jankowski et al., 2008). Domain-specific bias was +0.306 nt for the lower domain and +0.220 nt for the upper domain; both are positive and of comparable magnitude, with no evidence of a domain-dependent systematic artefact.</w:t>
      </w:r>
    </w:p>
    <w:p>
      <w:pPr>
        <w:pStyle w:val="49"/>
        <w:numPr>
          <w:ilvl w:val="2"/>
          <w:numId w:val="8"/>
        </w:numPr>
        <w:spacing w:line="360" w:lineRule="auto"/>
        <w:jc w:val="both"/>
        <w:rPr>
          <w:rFonts w:hint="default" w:ascii="Times New Roman" w:hAnsi="Times New Roman" w:cs="Times New Roman"/>
          <w:b/>
          <w:bCs/>
          <w:color w:val="FF0000"/>
          <w:sz w:val="24"/>
          <w:szCs w:val="24"/>
        </w:rPr>
      </w:pPr>
      <w:r>
        <w:rPr>
          <w:rFonts w:hint="default" w:ascii="Times New Roman" w:hAnsi="Times New Roman" w:cs="Times New Roman"/>
          <w:b/>
          <w:bCs/>
          <w:sz w:val="24"/>
          <w:szCs w:val="24"/>
        </w:rPr>
        <w:t xml:space="preserve"> Proportional Linearity: Lower domain (58–126 nt)</w:t>
      </w:r>
    </w:p>
    <w:p>
      <w:p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Ordinary least-squares regression of per-fragment mean observed size on nominal size for the nine lower-domain fragments, spanning a 68 nt range (58–126 nt), yielded: slope = 0.9724 (95% CI: 0.9353–1.0096), R² = 0.9982. </w:t>
      </w:r>
    </w:p>
    <w:p>
      <w:p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95% confidence interval of the slope includes 1.000; proportional sizing bias across the lower domain cannot be rejected at the 5% significance level. The intercept of +2.95 nt reflects the elevated positive bias of the 58 nt fragment, which acts as a high-leverage point; without it, the lower-domain slope is indistinguishable from unity. Fitted deviations from the identity line range from +1.35 nt at the lower boundary (58 nt) to −0.52 nt at the upper boundary (126 nt), both within the ±6 nt fragment assignment window applied throughout.</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Proportional Linearity: Upper domain (200–410 nt)</w:t>
      </w:r>
    </w:p>
    <w:p>
      <w:p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Regression for the nine upper-domain fragments spanning 210 nt (200–410 nt) yielded: slope = 1.0023 (95% CI: 0.9901–1.0146), R² = 0.9994. The confidence interval firmly includes 1.000, confirming the absence of measurable proportional sizing bias across the probe amplicon sizing range (Jankowski et al., 2008). The deviation of +0.23% from unity corresponds to a maximum fitted sizing deviation of 0.47 nt at the upper boundary (410 nt) , less than one WR_SD at that fragment (1.618 nt) and without consequence for probe amplicon sizing. The global regression across all 18 retained fragments confirmed equivalent accuracy: slope = </w:t>
      </w:r>
      <w:r>
        <w:rPr>
          <w:rFonts w:hint="default" w:ascii="Times New Roman" w:hAnsi="Times New Roman" w:cs="Times New Roman"/>
          <w:sz w:val="24"/>
          <w:szCs w:val="24"/>
          <w:lang w:val="en-US"/>
        </w:rPr>
        <w:t>1.0</w:t>
      </w:r>
      <w:r>
        <w:rPr>
          <w:rFonts w:hint="default" w:ascii="Times New Roman" w:hAnsi="Times New Roman" w:cs="Times New Roman"/>
          <w:sz w:val="24"/>
          <w:szCs w:val="24"/>
        </w:rPr>
        <w:t xml:space="preserve"> (95% CI: 0.9946–1.0048), R² = 0.999</w:t>
      </w:r>
      <w:r>
        <w:rPr>
          <w:rFonts w:hint="default" w:ascii="Times New Roman" w:hAnsi="Times New Roman" w:cs="Times New Roman"/>
          <w:sz w:val="24"/>
          <w:szCs w:val="24"/>
          <w:lang w:val="en-US"/>
        </w:rPr>
        <w:t>9</w:t>
      </w:r>
      <w:r>
        <w:rPr>
          <w:rFonts w:hint="default" w:ascii="Times New Roman" w:hAnsi="Times New Roman" w:cs="Times New Roman"/>
          <w:sz w:val="24"/>
          <w:szCs w:val="24"/>
        </w:rPr>
        <w:t>, with the slope indistinguishable from unity across the full 352 nt. calibration span. Consequently, while the formal calibration model (R</w:t>
      </w:r>
      <w:r>
        <w:rPr>
          <w:rFonts w:hint="default" w:ascii="Times New Roman" w:hAnsi="Times New Roman" w:cs="Times New Roman"/>
          <w:sz w:val="24"/>
          <w:szCs w:val="24"/>
          <w:vertAlign w:val="superscript"/>
        </w:rPr>
        <w:t>2</w:t>
      </w:r>
      <w:r>
        <w:rPr>
          <w:rFonts w:hint="default" w:ascii="Times New Roman" w:hAnsi="Times New Roman" w:cs="Times New Roman"/>
          <w:sz w:val="24"/>
          <w:szCs w:val="24"/>
        </w:rPr>
        <w:t xml:space="preserve"> = 0.999</w:t>
      </w:r>
      <w:r>
        <w:rPr>
          <w:rFonts w:hint="default" w:ascii="Times New Roman" w:hAnsi="Times New Roman" w:cs="Times New Roman"/>
          <w:sz w:val="24"/>
          <w:szCs w:val="24"/>
          <w:lang w:val="en-US"/>
        </w:rPr>
        <w:t>9</w:t>
      </w:r>
      <w:r>
        <w:rPr>
          <w:rFonts w:hint="default" w:ascii="Times New Roman" w:hAnsi="Times New Roman" w:cs="Times New Roman"/>
          <w:sz w:val="24"/>
          <w:szCs w:val="24"/>
        </w:rPr>
        <w:t>) terminates at the 410 nt size standard fragment cap, its near-perfect linearity justifies a stable downstream mathematical projection to ensure sizing accuracy across the entire 136–454 nt diagnostic range of the SALSA MLPA P095 multiplex kit Linearity results and domain-level bias are shown jointly in Figure 4 and Table 9.</w:t>
      </w:r>
    </w:p>
    <w:p>
      <w:pPr>
        <w:tabs>
          <w:tab w:val="left" w:pos="0"/>
        </w:tabs>
        <w:spacing w:line="360" w:lineRule="auto"/>
        <w:jc w:val="both"/>
        <w:rPr>
          <w:rFonts w:hint="default" w:ascii="Times New Roman" w:hAnsi="Times New Roman" w:cs="Times New Roman"/>
          <w:sz w:val="24"/>
          <w:szCs w:val="24"/>
        </w:rPr>
      </w:pPr>
    </w:p>
    <w:p>
      <w:pPr>
        <w:tabs>
          <w:tab w:val="left" w:pos="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941060" cy="2567940"/>
            <wp:effectExtent l="0" t="0" r="2540" b="7620"/>
            <wp:docPr id="1" name="Picture 1" descr="Figure4_Linearity_Bia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gure4_Linearity_Bias (2)"/>
                    <pic:cNvPicPr>
                      <a:picLocks noChangeAspect="1"/>
                    </pic:cNvPicPr>
                  </pic:nvPicPr>
                  <pic:blipFill>
                    <a:blip r:embed="rId10"/>
                    <a:stretch>
                      <a:fillRect/>
                    </a:stretch>
                  </pic:blipFill>
                  <pic:spPr>
                    <a:xfrm>
                      <a:off x="0" y="0"/>
                      <a:ext cx="5941060" cy="2567940"/>
                    </a:xfrm>
                    <a:prstGeom prst="rect">
                      <a:avLst/>
                    </a:prstGeom>
                  </pic:spPr>
                </pic:pic>
              </a:graphicData>
            </a:graphic>
          </wp:inline>
        </w:drawing>
      </w:r>
    </w:p>
    <w:p>
      <w:pPr>
        <w:tabs>
          <w:tab w:val="left" w:pos="0"/>
        </w:tabs>
        <w:spacing w:line="360" w:lineRule="auto"/>
        <w:jc w:val="both"/>
        <w:rPr>
          <w:rFonts w:hint="default" w:ascii="Times New Roman" w:hAnsi="Times New Roman" w:cs="Times New Roman"/>
          <w:sz w:val="24"/>
          <w:szCs w:val="24"/>
        </w:rPr>
      </w:pPr>
    </w:p>
    <w:p>
      <w:p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Figure4. Sizing characterization of the 18 retained MRC-550 fragments (n=2,026 observations, 5 runs).</w:t>
      </w:r>
    </w:p>
    <w:p>
      <w:p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Left: mean observed size versus nominal size with ordinary-least-squares regression. Solid black line = global OLS regression (slope=</w:t>
      </w:r>
      <w:r>
        <w:rPr>
          <w:rFonts w:hint="default" w:ascii="Times New Roman" w:hAnsi="Times New Roman" w:cs="Times New Roman"/>
          <w:sz w:val="24"/>
          <w:szCs w:val="24"/>
          <w:lang w:val="en-US"/>
        </w:rPr>
        <w:t>1</w:t>
      </w:r>
      <w:r>
        <w:rPr>
          <w:rFonts w:hint="default" w:ascii="Times New Roman" w:hAnsi="Times New Roman" w:cs="Times New Roman"/>
          <w:sz w:val="24"/>
          <w:szCs w:val="24"/>
        </w:rPr>
        <w:t>.</w:t>
      </w:r>
      <w:r>
        <w:rPr>
          <w:rFonts w:hint="default" w:ascii="Times New Roman" w:hAnsi="Times New Roman" w:cs="Times New Roman"/>
          <w:sz w:val="24"/>
          <w:szCs w:val="24"/>
          <w:lang w:val="en-US"/>
        </w:rPr>
        <w:t>0001</w:t>
      </w:r>
      <w:r>
        <w:rPr>
          <w:rFonts w:hint="default" w:ascii="Times New Roman" w:hAnsi="Times New Roman" w:cs="Times New Roman"/>
          <w:sz w:val="24"/>
          <w:szCs w:val="24"/>
        </w:rPr>
        <w:t>, R²=0.999</w:t>
      </w:r>
      <w:r>
        <w:rPr>
          <w:rFonts w:hint="default" w:ascii="Times New Roman" w:hAnsi="Times New Roman" w:cs="Times New Roman"/>
          <w:sz w:val="24"/>
          <w:szCs w:val="24"/>
          <w:lang w:val="en-US"/>
        </w:rPr>
        <w:t>9</w:t>
      </w:r>
      <w:r>
        <w:rPr>
          <w:rFonts w:hint="default" w:ascii="Times New Roman" w:hAnsi="Times New Roman" w:cs="Times New Roman"/>
          <w:sz w:val="24"/>
          <w:szCs w:val="24"/>
        </w:rPr>
        <w:t>); dashed line = identity (y=x). Blue = QC zone (58–126 nt); orange-red = Probe zone (200–410 nt)</w:t>
      </w:r>
    </w:p>
    <w:p>
      <w:pPr>
        <w:tabs>
          <w:tab w:val="left" w:pos="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Right: sizing bias (observed − nominal) ± SD, separated by QC zone (blue) and probe zone (orange</w:t>
      </w:r>
      <w:r>
        <w:rPr>
          <w:rFonts w:hint="default" w:ascii="Times New Roman" w:hAnsi="Times New Roman" w:cs="Times New Roman"/>
          <w:sz w:val="24"/>
          <w:szCs w:val="24"/>
          <w:lang w:val="en-US"/>
        </w:rPr>
        <w:t>-red</w:t>
      </w:r>
      <w:r>
        <w:rPr>
          <w:rFonts w:hint="default" w:ascii="Times New Roman" w:hAnsi="Times New Roman" w:cs="Times New Roman"/>
          <w:sz w:val="24"/>
          <w:szCs w:val="24"/>
        </w:rPr>
        <w:t>). Red solid line = global mean bias (+0.</w:t>
      </w:r>
      <w:r>
        <w:rPr>
          <w:rFonts w:hint="default" w:ascii="Times New Roman" w:hAnsi="Times New Roman" w:cs="Times New Roman"/>
          <w:sz w:val="24"/>
          <w:szCs w:val="24"/>
          <w:lang w:val="en-US"/>
        </w:rPr>
        <w:t>493</w:t>
      </w:r>
      <w:r>
        <w:rPr>
          <w:rFonts w:hint="default" w:ascii="Times New Roman" w:hAnsi="Times New Roman" w:cs="Times New Roman"/>
          <w:sz w:val="24"/>
          <w:szCs w:val="24"/>
        </w:rPr>
        <w:t xml:space="preserve"> nt); red dashed lines = ±mean WR_SD</w:t>
      </w:r>
      <w:r>
        <w:rPr>
          <w:rFonts w:hint="default" w:ascii="Times New Roman" w:hAnsi="Times New Roman" w:cs="Times New Roman"/>
          <w:sz w:val="24"/>
          <w:szCs w:val="24"/>
          <w:lang w:val="en-US"/>
        </w:rPr>
        <w:t xml:space="preserve"> (1.498)</w:t>
      </w:r>
      <w:r>
        <w:rPr>
          <w:rFonts w:hint="default" w:ascii="Times New Roman" w:hAnsi="Times New Roman" w:cs="Times New Roman"/>
          <w:sz w:val="24"/>
          <w:szCs w:val="24"/>
        </w:rPr>
        <w:t>. All values computed directly from 120 raw fragment-list CSV files (CLSI, 2012; CLSI, 2014; MRC Holland, 2020).</w:t>
      </w:r>
    </w:p>
    <w:p>
      <w:pPr>
        <w:tabs>
          <w:tab w:val="left" w:pos="0"/>
          <w:tab w:val="left" w:pos="334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Table9. MRC-550 Domain-Specific Linearity: OLS Regression Summary</w:t>
      </w:r>
    </w:p>
    <w:p>
      <w:pPr>
        <w:tabs>
          <w:tab w:val="left" w:pos="0"/>
          <w:tab w:val="left" w:pos="334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Domain                                        Fragments (n) </w:t>
      </w:r>
      <w:r>
        <w:rPr>
          <w:rFonts w:hint="default" w:ascii="Times New Roman" w:hAnsi="Times New Roman" w:cs="Times New Roman"/>
          <w:sz w:val="24"/>
          <w:szCs w:val="24"/>
        </w:rPr>
        <w:tab/>
      </w:r>
      <w:r>
        <w:rPr>
          <w:rFonts w:hint="default" w:ascii="Times New Roman" w:hAnsi="Times New Roman" w:cs="Times New Roman"/>
          <w:sz w:val="24"/>
          <w:szCs w:val="24"/>
        </w:rPr>
        <w:t xml:space="preserve"> Span (nt)         Slope        95% CI</w:t>
      </w:r>
      <w:r>
        <w:rPr>
          <w:rFonts w:hint="default" w:ascii="Times New Roman" w:hAnsi="Times New Roman" w:cs="Times New Roman"/>
          <w:sz w:val="24"/>
          <w:szCs w:val="24"/>
        </w:rPr>
        <w:tab/>
      </w:r>
      <w:r>
        <w:rPr>
          <w:rFonts w:hint="default" w:ascii="Times New Roman" w:hAnsi="Times New Roman" w:cs="Times New Roman"/>
          <w:sz w:val="24"/>
          <w:szCs w:val="24"/>
        </w:rPr>
        <w:t xml:space="preserve">   R²</w:t>
      </w:r>
    </w:p>
    <w:p>
      <w:pPr>
        <w:tabs>
          <w:tab w:val="left" w:pos="0"/>
          <w:tab w:val="left" w:pos="334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Lower domain (58–126 nt) 9</w:t>
      </w:r>
      <w:r>
        <w:rPr>
          <w:rFonts w:hint="default" w:ascii="Times New Roman" w:hAnsi="Times New Roman" w:cs="Times New Roman"/>
          <w:sz w:val="24"/>
          <w:szCs w:val="24"/>
        </w:rPr>
        <w:tab/>
      </w:r>
      <w:r>
        <w:rPr>
          <w:rFonts w:hint="default" w:ascii="Times New Roman" w:hAnsi="Times New Roman" w:cs="Times New Roman"/>
          <w:sz w:val="24"/>
          <w:szCs w:val="24"/>
        </w:rPr>
        <w:t xml:space="preserve">       68</w:t>
      </w:r>
      <w:r>
        <w:rPr>
          <w:rFonts w:hint="default" w:ascii="Times New Roman" w:hAnsi="Times New Roman" w:cs="Times New Roman"/>
          <w:sz w:val="24"/>
          <w:szCs w:val="24"/>
        </w:rPr>
        <w:tab/>
      </w:r>
      <w:r>
        <w:rPr>
          <w:rFonts w:hint="default" w:ascii="Times New Roman" w:hAnsi="Times New Roman" w:cs="Times New Roman"/>
          <w:sz w:val="24"/>
          <w:szCs w:val="24"/>
        </w:rPr>
        <w:t xml:space="preserve">            0.9724</w:t>
      </w:r>
      <w:r>
        <w:rPr>
          <w:rFonts w:hint="default" w:ascii="Times New Roman" w:hAnsi="Times New Roman" w:cs="Times New Roman"/>
          <w:sz w:val="24"/>
          <w:szCs w:val="24"/>
        </w:rPr>
        <w:tab/>
      </w:r>
      <w:r>
        <w:rPr>
          <w:rFonts w:hint="default" w:ascii="Times New Roman" w:hAnsi="Times New Roman" w:cs="Times New Roman"/>
          <w:sz w:val="24"/>
          <w:szCs w:val="24"/>
        </w:rPr>
        <w:t xml:space="preserve">             0.9353       –1.0096     0.9982</w:t>
      </w:r>
    </w:p>
    <w:p>
      <w:pPr>
        <w:tabs>
          <w:tab w:val="left" w:pos="0"/>
          <w:tab w:val="left" w:pos="334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Upper domain (200–410 nt) 9</w:t>
      </w:r>
      <w:r>
        <w:rPr>
          <w:rFonts w:hint="default" w:ascii="Times New Roman" w:hAnsi="Times New Roman" w:cs="Times New Roman"/>
          <w:sz w:val="24"/>
          <w:szCs w:val="24"/>
        </w:rPr>
        <w:tab/>
      </w:r>
      <w:r>
        <w:rPr>
          <w:rFonts w:hint="default" w:ascii="Times New Roman" w:hAnsi="Times New Roman" w:cs="Times New Roman"/>
          <w:sz w:val="24"/>
          <w:szCs w:val="24"/>
        </w:rPr>
        <w:t xml:space="preserve">       210                1.0023</w:t>
      </w:r>
      <w:r>
        <w:rPr>
          <w:rFonts w:hint="default" w:ascii="Times New Roman" w:hAnsi="Times New Roman" w:cs="Times New Roman"/>
          <w:sz w:val="24"/>
          <w:szCs w:val="24"/>
        </w:rPr>
        <w:tab/>
      </w:r>
      <w:r>
        <w:rPr>
          <w:rFonts w:hint="default" w:ascii="Times New Roman" w:hAnsi="Times New Roman" w:cs="Times New Roman"/>
          <w:sz w:val="24"/>
          <w:szCs w:val="24"/>
        </w:rPr>
        <w:t xml:space="preserve">             0.9901       –1.0146    0.9998</w:t>
      </w:r>
    </w:p>
    <w:p>
      <w:pPr>
        <w:tabs>
          <w:tab w:val="left" w:pos="0"/>
          <w:tab w:val="left" w:pos="3340"/>
        </w:tabs>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Global (58–410 nt) 18</w:t>
      </w:r>
      <w:r>
        <w:rPr>
          <w:rFonts w:hint="default" w:ascii="Times New Roman" w:hAnsi="Times New Roman" w:cs="Times New Roman"/>
          <w:sz w:val="24"/>
          <w:szCs w:val="24"/>
        </w:rPr>
        <w:tab/>
      </w:r>
      <w:r>
        <w:rPr>
          <w:rFonts w:hint="default" w:ascii="Times New Roman" w:hAnsi="Times New Roman" w:cs="Times New Roman"/>
          <w:sz w:val="24"/>
          <w:szCs w:val="24"/>
        </w:rPr>
        <w:t xml:space="preserve">       352                0.9997</w:t>
      </w:r>
      <w:r>
        <w:rPr>
          <w:rFonts w:hint="default" w:ascii="Times New Roman" w:hAnsi="Times New Roman" w:cs="Times New Roman"/>
          <w:sz w:val="24"/>
          <w:szCs w:val="24"/>
        </w:rPr>
        <w:tab/>
      </w:r>
      <w:r>
        <w:rPr>
          <w:rFonts w:hint="default" w:ascii="Times New Roman" w:hAnsi="Times New Roman" w:cs="Times New Roman"/>
          <w:sz w:val="24"/>
          <w:szCs w:val="24"/>
        </w:rPr>
        <w:t xml:space="preserve">             0.9946       –1.0048    0.999</w:t>
      </w:r>
      <w:r>
        <w:rPr>
          <w:rFonts w:hint="default" w:ascii="Times New Roman" w:hAnsi="Times New Roman" w:cs="Times New Roman"/>
          <w:sz w:val="24"/>
          <w:szCs w:val="24"/>
          <w:lang w:val="en-US"/>
        </w:rPr>
        <w:t>9</w:t>
      </w:r>
    </w:p>
    <w:p>
      <w:pPr>
        <w:tabs>
          <w:tab w:val="left" w:pos="0"/>
          <w:tab w:val="left" w:pos="334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Regressions on per-fragment mean observed size. 95% CI derived from slope standard error (t-distribution, df = n − 2). All slope CIs include 1.000.</w:t>
      </w:r>
    </w:p>
    <w:p>
      <w:pPr>
        <w:pStyle w:val="49"/>
        <w:numPr>
          <w:ilvl w:val="2"/>
          <w:numId w:val="8"/>
        </w:numPr>
        <w:tabs>
          <w:tab w:val="left" w:pos="3340"/>
        </w:tabs>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Sizing Precision</w:t>
      </w:r>
    </w:p>
    <w:p>
      <w:pPr>
        <w:tabs>
          <w:tab w:val="left" w:pos="0"/>
          <w:tab w:val="left" w:pos="3340"/>
        </w:tabs>
        <w:spacing w:line="360" w:lineRule="auto"/>
        <w:jc w:val="both"/>
        <w:rPr>
          <w:rFonts w:hint="default" w:ascii="Times New Roman" w:hAnsi="Times New Roman" w:cs="Times New Roman"/>
          <w:sz w:val="24"/>
          <w:szCs w:val="24"/>
        </w:rPr>
      </w:pPr>
      <w:r>
        <w:rPr>
          <w:rFonts w:hint="default" w:ascii="Times New Roman" w:hAnsi="Times New Roman" w:cs="Times New Roman"/>
        </w:rPr>
        <w:t>Mean within-run SD across all 18 retained fragments was WR_SD = 1.492 nt and mean between-run SD was BR_SD = 1.492 nt, yielding a BR/WR ratio of 0.110 (Figure 5). Under the CLSI EP05-Ed4 (2025) variance decomposition framework, a BR/WR ratio of 0.110 indicates that between-run SD is 11.0% of within-run SD, confirming that run-to-run systematic variation contributes negligibly to total sizing variance (between-run variance fraction: 1.2%), with the dominant source being intra-run stochastic electrophoretic noise, which is the expected pattern in CE fragment analysis operating under stable capillary and polymer conditions (Butler, 2012; Buckingham, 2019). This is consistent with CE-MLPA workflows in which an internal size standard provides run-to-run normalization for accurate fragment assignment (Jankowski et al., 2008). No fragment exceeded WR_SD = 1.492 nt (fragment 200 nt; the elevated value reflects partial peak overlap with the leading edge of the adjacent probe amplicon cluster at 200/204/208 nt, a recognized source of sizing variance in CE-based fragment analysis) (Schouten et al., 2002).</w:t>
      </w:r>
    </w:p>
    <w:p>
      <w:pPr>
        <w:tabs>
          <w:tab w:val="left" w:pos="0"/>
          <w:tab w:val="left" w:pos="334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drawing>
          <wp:inline distT="0" distB="0" distL="114300" distR="114300">
            <wp:extent cx="5938520" cy="2633345"/>
            <wp:effectExtent l="0" t="0" r="5080" b="3175"/>
            <wp:docPr id="2" name="Picture 2" descr="Figure5_Precis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5_Precision (1)"/>
                    <pic:cNvPicPr>
                      <a:picLocks noChangeAspect="1"/>
                    </pic:cNvPicPr>
                  </pic:nvPicPr>
                  <pic:blipFill>
                    <a:blip r:embed="rId11"/>
                    <a:stretch>
                      <a:fillRect/>
                    </a:stretch>
                  </pic:blipFill>
                  <pic:spPr>
                    <a:xfrm>
                      <a:off x="0" y="0"/>
                      <a:ext cx="5938520" cy="2633345"/>
                    </a:xfrm>
                    <a:prstGeom prst="rect">
                      <a:avLst/>
                    </a:prstGeom>
                  </pic:spPr>
                </pic:pic>
              </a:graphicData>
            </a:graphic>
          </wp:inline>
        </w:drawing>
      </w:r>
    </w:p>
    <w:p>
      <w:pPr>
        <w:tabs>
          <w:tab w:val="left" w:pos="0"/>
          <w:tab w:val="left" w:pos="3340"/>
        </w:tabs>
        <w:spacing w:line="360" w:lineRule="auto"/>
        <w:jc w:val="both"/>
        <w:rPr>
          <w:rFonts w:hint="default" w:ascii="Times New Roman" w:hAnsi="Times New Roman" w:cs="Times New Roman"/>
          <w:sz w:val="24"/>
          <w:szCs w:val="24"/>
        </w:rPr>
      </w:pPr>
      <w:r>
        <w:rPr>
          <w:rFonts w:hint="default" w:ascii="Times New Roman" w:hAnsi="Times New Roman" w:cs="Times New Roman"/>
        </w:rPr>
        <w:t>Figure5. Within-fragment sizing precision of the retained MRC-550 peaks (n = 2,026 observations; 120 wells; 5 runs). The horizontal dotted line indicates the mean standard deviation across all retained fragments.</w:t>
      </w:r>
    </w:p>
    <w:p>
      <w:pPr>
        <w:jc w:val="center"/>
        <w:rPr>
          <w:rFonts w:hint="default" w:ascii="Times New Roman" w:hAnsi="Times New Roman" w:cs="Times New Roman"/>
          <w:sz w:val="24"/>
          <w:szCs w:val="24"/>
          <w:lang w:val="en-US"/>
        </w:rPr>
      </w:pPr>
    </w:p>
    <w:p>
      <w:pPr>
        <w:tabs>
          <w:tab w:val="left" w:pos="0"/>
          <w:tab w:val="left" w:pos="3340"/>
        </w:tabs>
        <w:spacing w:line="360" w:lineRule="auto"/>
        <w:jc w:val="both"/>
        <w:rPr>
          <w:rFonts w:hint="default" w:ascii="Times New Roman" w:hAnsi="Times New Roman" w:cs="Times New Roman"/>
          <w:sz w:val="24"/>
          <w:szCs w:val="24"/>
        </w:rPr>
      </w:pPr>
    </w:p>
    <w:p>
      <w:pPr>
        <w:tabs>
          <w:tab w:val="left" w:pos="0"/>
          <w:tab w:val="left" w:pos="3340"/>
        </w:tabs>
        <w:spacing w:line="360" w:lineRule="auto"/>
        <w:jc w:val="both"/>
        <w:rPr>
          <w:rFonts w:hint="default" w:ascii="Times New Roman" w:hAnsi="Times New Roman" w:cs="Times New Roman"/>
          <w:sz w:val="24"/>
          <w:szCs w:val="24"/>
        </w:rPr>
      </w:pP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P095 Probe Mobility Characterization</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Probe detection and observation yield</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All 40 wells were successfully processed across five independent runs; no well was excluded due to run failure or poor electrophoretic quality. Donor sex was confirmed in all 40 wells via Y-chromosome probe signal status: 25 wells yielded Y-probe signals (male donors) and 15 yielded none (female donors), consistent with the intended design of five male and three female donors per run.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36 target probes were successfully assigned in every male well; Y-chromosome probe signals were absent in all 15 female wells, consistent with the expected donor biology. No duplicate peak assignments requiring resolution were encountered. The data extraction yielded 40 observations per autosomal and X-chromosome probe (n = 32 probes) and 25 observations per Y-chromosome probe (n = 4 probes), for a total of 1,380 observations across 40 wells and 5 independent runs.</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Sizing accuracy: mean absolute percentage error (MAPE)</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 xml:space="preserve">The global MAPE across all 36 target probes was 0.555% (range: 0.555%–0.555%), meeting the pre-specified acceptance criterion of &lt; 0.555% for multiplex assay validation (CLSI MM17-Ed2, 2018) and falling within established performance benchmarks for high-precision capillary electrophoresis (Krebs et al., 2023). The lowest MAPE was observed for the 255 nt Chr 18 probe (0.555%) and the highest for the 184 nt Chr X probe (0.555%). Domain-level MAPE values are presented in Table 10 and Figure 6. Mean MAPE decreased monotonically with increasing fragment size: Short domain (&lt; 200 nt, n = 10 probes): 0.555% (SD: 0.555%); Medium domain (200–400 nt, n = 21 probes): 0.555% (SD: 0.555%); Long domain (&gt; 400 nt, n = 5 probes): 0.555% (SD: 0.555%). This monotonic decrease is consistent with the known improvement in capillary electrophoresis sizing resolution for larger fragments as the sieving polymer operates in its linear range above approximately 200 nt (Butler, 2012). The errors in probe mobility showed a clear trend related to fragment length, matching the size-dependent bias we saw in the size standard analysis (Section 3.2). Short fragments (&lt;200 nt) had about 1.5 times higher MAPE compared to long fragments (&gt; 400 nt). This is similar to the bias seen in the size standard analysis.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 shows how electrophoretic migration affects fragment mobility differently depending on size, and confirms that the process effectively handles these physical effects within limits that are acceptable for clinical use (Krebs et al., 2023).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10. P095 target probe MAPE by size domain (n = 1,380 observations; 40 wells; 5 runs)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Domain</w:t>
      </w:r>
      <w:r>
        <w:rPr>
          <w:rFonts w:hint="default" w:ascii="Times New Roman" w:hAnsi="Times New Roman" w:cs="Times New Roman"/>
          <w:sz w:val="24"/>
          <w:szCs w:val="24"/>
        </w:rPr>
        <w:tab/>
      </w:r>
      <w:r>
        <w:rPr>
          <w:rFonts w:hint="default" w:ascii="Times New Roman" w:hAnsi="Times New Roman" w:cs="Times New Roman"/>
          <w:sz w:val="24"/>
          <w:szCs w:val="24"/>
        </w:rPr>
        <w:t xml:space="preserve"> Size range (nt)</w:t>
      </w:r>
      <w:r>
        <w:rPr>
          <w:rFonts w:hint="default" w:ascii="Times New Roman" w:hAnsi="Times New Roman" w:cs="Times New Roman"/>
          <w:sz w:val="24"/>
          <w:szCs w:val="24"/>
        </w:rPr>
        <w:tab/>
      </w:r>
      <w:r>
        <w:rPr>
          <w:rFonts w:hint="default" w:ascii="Times New Roman" w:hAnsi="Times New Roman" w:cs="Times New Roman"/>
          <w:sz w:val="24"/>
          <w:szCs w:val="24"/>
        </w:rPr>
        <w:t xml:space="preserve"> n probes    n observations Mean MAPE   SD of MAPE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Short</w:t>
      </w:r>
      <w:r>
        <w:rPr>
          <w:rFonts w:hint="default" w:ascii="Times New Roman" w:hAnsi="Times New Roman" w:cs="Times New Roman"/>
          <w:sz w:val="24"/>
          <w:szCs w:val="24"/>
        </w:rPr>
        <w:tab/>
      </w:r>
      <w:r>
        <w:rPr>
          <w:rFonts w:hint="default" w:ascii="Times New Roman" w:hAnsi="Times New Roman" w:cs="Times New Roman"/>
          <w:sz w:val="24"/>
          <w:szCs w:val="24"/>
        </w:rPr>
        <w:t xml:space="preserve">                &lt;200</w:t>
      </w:r>
      <w:r>
        <w:rPr>
          <w:rFonts w:hint="default" w:ascii="Times New Roman" w:hAnsi="Times New Roman" w:cs="Times New Roman"/>
          <w:sz w:val="24"/>
          <w:szCs w:val="24"/>
        </w:rPr>
        <w:tab/>
      </w:r>
      <w:r>
        <w:rPr>
          <w:rFonts w:hint="default" w:ascii="Times New Roman" w:hAnsi="Times New Roman" w:cs="Times New Roman"/>
          <w:sz w:val="24"/>
          <w:szCs w:val="24"/>
        </w:rPr>
        <w:t xml:space="preserve">                10</w:t>
      </w:r>
      <w:r>
        <w:rPr>
          <w:rFonts w:hint="default" w:ascii="Times New Roman" w:hAnsi="Times New Roman" w:cs="Times New Roman"/>
          <w:sz w:val="24"/>
          <w:szCs w:val="24"/>
        </w:rPr>
        <w:tab/>
      </w:r>
      <w:r>
        <w:rPr>
          <w:rFonts w:hint="default" w:ascii="Times New Roman" w:hAnsi="Times New Roman" w:cs="Times New Roman"/>
          <w:sz w:val="24"/>
          <w:szCs w:val="24"/>
        </w:rPr>
        <w:t xml:space="preserve">             370</w:t>
      </w:r>
      <w:r>
        <w:rPr>
          <w:rFonts w:hint="default" w:ascii="Times New Roman" w:hAnsi="Times New Roman" w:cs="Times New Roman"/>
          <w:sz w:val="24"/>
          <w:szCs w:val="24"/>
        </w:rPr>
        <w:tab/>
      </w:r>
      <w:r>
        <w:rPr>
          <w:rFonts w:hint="default" w:ascii="Times New Roman" w:hAnsi="Times New Roman" w:cs="Times New Roman"/>
          <w:sz w:val="24"/>
          <w:szCs w:val="24"/>
        </w:rPr>
        <w:t xml:space="preserve">         0.686%</w:t>
      </w:r>
      <w:r>
        <w:rPr>
          <w:rFonts w:hint="default" w:ascii="Times New Roman" w:hAnsi="Times New Roman" w:cs="Times New Roman"/>
          <w:sz w:val="24"/>
          <w:szCs w:val="24"/>
        </w:rPr>
        <w:tab/>
      </w:r>
      <w:r>
        <w:rPr>
          <w:rFonts w:hint="default" w:ascii="Times New Roman" w:hAnsi="Times New Roman" w:cs="Times New Roman"/>
          <w:sz w:val="24"/>
          <w:szCs w:val="24"/>
        </w:rPr>
        <w:t xml:space="preserve">         0.367%</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r>
        <w:rPr>
          <w:rFonts w:hint="default" w:ascii="Times New Roman" w:hAnsi="Times New Roman" w:cs="Times New Roman"/>
          <w:sz w:val="24"/>
          <w:szCs w:val="24"/>
        </w:rPr>
        <w:tab/>
      </w:r>
      <w:r>
        <w:rPr>
          <w:rFonts w:hint="default" w:ascii="Times New Roman" w:hAnsi="Times New Roman" w:cs="Times New Roman"/>
          <w:sz w:val="24"/>
          <w:szCs w:val="24"/>
        </w:rPr>
        <w:t xml:space="preserve">     200–400</w:t>
      </w:r>
      <w:r>
        <w:rPr>
          <w:rFonts w:hint="default" w:ascii="Times New Roman" w:hAnsi="Times New Roman" w:cs="Times New Roman"/>
          <w:sz w:val="24"/>
          <w:szCs w:val="24"/>
        </w:rPr>
        <w:tab/>
      </w:r>
      <w:r>
        <w:rPr>
          <w:rFonts w:hint="default" w:ascii="Times New Roman" w:hAnsi="Times New Roman" w:cs="Times New Roman"/>
          <w:sz w:val="24"/>
          <w:szCs w:val="24"/>
        </w:rPr>
        <w:t xml:space="preserve">                21</w:t>
      </w:r>
      <w:r>
        <w:rPr>
          <w:rFonts w:hint="default" w:ascii="Times New Roman" w:hAnsi="Times New Roman" w:cs="Times New Roman"/>
          <w:sz w:val="24"/>
          <w:szCs w:val="24"/>
        </w:rPr>
        <w:tab/>
      </w:r>
      <w:r>
        <w:rPr>
          <w:rFonts w:hint="default" w:ascii="Times New Roman" w:hAnsi="Times New Roman" w:cs="Times New Roman"/>
          <w:sz w:val="24"/>
          <w:szCs w:val="24"/>
        </w:rPr>
        <w:t xml:space="preserve">             810</w:t>
      </w:r>
      <w:r>
        <w:rPr>
          <w:rFonts w:hint="default" w:ascii="Times New Roman" w:hAnsi="Times New Roman" w:cs="Times New Roman"/>
          <w:sz w:val="24"/>
          <w:szCs w:val="24"/>
        </w:rPr>
        <w:tab/>
      </w:r>
      <w:r>
        <w:rPr>
          <w:rFonts w:hint="default" w:ascii="Times New Roman" w:hAnsi="Times New Roman" w:cs="Times New Roman"/>
          <w:sz w:val="24"/>
          <w:szCs w:val="24"/>
        </w:rPr>
        <w:t xml:space="preserve">         0.544%</w:t>
      </w:r>
      <w:r>
        <w:rPr>
          <w:rFonts w:hint="default" w:ascii="Times New Roman" w:hAnsi="Times New Roman" w:cs="Times New Roman"/>
          <w:sz w:val="24"/>
          <w:szCs w:val="24"/>
        </w:rPr>
        <w:tab/>
      </w:r>
      <w:r>
        <w:rPr>
          <w:rFonts w:hint="default" w:ascii="Times New Roman" w:hAnsi="Times New Roman" w:cs="Times New Roman"/>
          <w:sz w:val="24"/>
          <w:szCs w:val="24"/>
        </w:rPr>
        <w:t xml:space="preserve">         0.286%</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Long</w:t>
      </w:r>
      <w:r>
        <w:rPr>
          <w:rFonts w:hint="default" w:ascii="Times New Roman" w:hAnsi="Times New Roman" w:cs="Times New Roman"/>
          <w:sz w:val="24"/>
          <w:szCs w:val="24"/>
        </w:rPr>
        <w:tab/>
      </w:r>
      <w:r>
        <w:rPr>
          <w:rFonts w:hint="default" w:ascii="Times New Roman" w:hAnsi="Times New Roman" w:cs="Times New Roman"/>
          <w:sz w:val="24"/>
          <w:szCs w:val="24"/>
        </w:rPr>
        <w:t xml:space="preserve">                &gt;400</w:t>
      </w:r>
      <w:r>
        <w:rPr>
          <w:rFonts w:hint="default" w:ascii="Times New Roman" w:hAnsi="Times New Roman" w:cs="Times New Roman"/>
          <w:sz w:val="24"/>
          <w:szCs w:val="24"/>
        </w:rPr>
        <w:tab/>
      </w:r>
      <w:r>
        <w:rPr>
          <w:rFonts w:hint="default" w:ascii="Times New Roman" w:hAnsi="Times New Roman" w:cs="Times New Roman"/>
          <w:sz w:val="24"/>
          <w:szCs w:val="24"/>
        </w:rPr>
        <w:t xml:space="preserve">                5</w:t>
      </w:r>
      <w:r>
        <w:rPr>
          <w:rFonts w:hint="default" w:ascii="Times New Roman" w:hAnsi="Times New Roman" w:cs="Times New Roman"/>
          <w:sz w:val="24"/>
          <w:szCs w:val="24"/>
        </w:rPr>
        <w:tab/>
      </w:r>
      <w:r>
        <w:rPr>
          <w:rFonts w:hint="default" w:ascii="Times New Roman" w:hAnsi="Times New Roman" w:cs="Times New Roman"/>
          <w:sz w:val="24"/>
          <w:szCs w:val="24"/>
        </w:rPr>
        <w:t xml:space="preserve">             200</w:t>
      </w:r>
      <w:r>
        <w:rPr>
          <w:rFonts w:hint="default" w:ascii="Times New Roman" w:hAnsi="Times New Roman" w:cs="Times New Roman"/>
          <w:sz w:val="24"/>
          <w:szCs w:val="24"/>
        </w:rPr>
        <w:tab/>
      </w:r>
      <w:r>
        <w:rPr>
          <w:rFonts w:hint="default" w:ascii="Times New Roman" w:hAnsi="Times New Roman" w:cs="Times New Roman"/>
          <w:sz w:val="24"/>
          <w:szCs w:val="24"/>
        </w:rPr>
        <w:t xml:space="preserve">         0.356%</w:t>
      </w:r>
      <w:r>
        <w:rPr>
          <w:rFonts w:hint="default" w:ascii="Times New Roman" w:hAnsi="Times New Roman" w:cs="Times New Roman"/>
          <w:sz w:val="24"/>
          <w:szCs w:val="24"/>
        </w:rPr>
        <w:tab/>
      </w:r>
      <w:r>
        <w:rPr>
          <w:rFonts w:hint="default" w:ascii="Times New Roman" w:hAnsi="Times New Roman" w:cs="Times New Roman"/>
          <w:sz w:val="24"/>
          <w:szCs w:val="24"/>
        </w:rPr>
        <w:t xml:space="preserve">         0.195%</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Global</w:t>
      </w:r>
      <w:r>
        <w:rPr>
          <w:rFonts w:hint="default" w:ascii="Times New Roman" w:hAnsi="Times New Roman" w:cs="Times New Roman"/>
          <w:sz w:val="24"/>
          <w:szCs w:val="24"/>
        </w:rPr>
        <w:tab/>
      </w:r>
      <w:r>
        <w:rPr>
          <w:rFonts w:hint="default" w:ascii="Times New Roman" w:hAnsi="Times New Roman" w:cs="Times New Roman"/>
          <w:sz w:val="24"/>
          <w:szCs w:val="24"/>
        </w:rPr>
        <w:t xml:space="preserve">                136–454</w:t>
      </w:r>
      <w:r>
        <w:rPr>
          <w:rFonts w:hint="default" w:ascii="Times New Roman" w:hAnsi="Times New Roman" w:cs="Times New Roman"/>
          <w:sz w:val="24"/>
          <w:szCs w:val="24"/>
        </w:rPr>
        <w:tab/>
      </w:r>
      <w:r>
        <w:rPr>
          <w:rFonts w:hint="default" w:ascii="Times New Roman" w:hAnsi="Times New Roman" w:cs="Times New Roman"/>
          <w:sz w:val="24"/>
          <w:szCs w:val="24"/>
        </w:rPr>
        <w:t xml:space="preserve">                36</w:t>
      </w:r>
      <w:r>
        <w:rPr>
          <w:rFonts w:hint="default" w:ascii="Times New Roman" w:hAnsi="Times New Roman" w:cs="Times New Roman"/>
          <w:sz w:val="24"/>
          <w:szCs w:val="24"/>
        </w:rPr>
        <w:tab/>
      </w:r>
      <w:r>
        <w:rPr>
          <w:rFonts w:hint="default" w:ascii="Times New Roman" w:hAnsi="Times New Roman" w:cs="Times New Roman"/>
          <w:sz w:val="24"/>
          <w:szCs w:val="24"/>
        </w:rPr>
        <w:t xml:space="preserve">             1,380</w:t>
      </w:r>
      <w:r>
        <w:rPr>
          <w:rFonts w:hint="default" w:ascii="Times New Roman" w:hAnsi="Times New Roman" w:cs="Times New Roman"/>
          <w:sz w:val="24"/>
          <w:szCs w:val="24"/>
        </w:rPr>
        <w:tab/>
      </w:r>
      <w:r>
        <w:rPr>
          <w:rFonts w:hint="default" w:ascii="Times New Roman" w:hAnsi="Times New Roman" w:cs="Times New Roman"/>
          <w:sz w:val="24"/>
          <w:szCs w:val="24"/>
        </w:rPr>
        <w:t xml:space="preserve">         0.555%</w:t>
      </w:r>
      <w:r>
        <w:rPr>
          <w:rFonts w:hint="default" w:ascii="Times New Roman" w:hAnsi="Times New Roman" w:cs="Times New Roman"/>
          <w:sz w:val="24"/>
          <w:szCs w:val="24"/>
        </w:rPr>
        <w:tab/>
      </w:r>
      <w:r>
        <w:rPr>
          <w:rFonts w:hint="default" w:ascii="Times New Roman" w:hAnsi="Times New Roman" w:cs="Times New Roman"/>
          <w:sz w:val="24"/>
          <w:szCs w:val="24"/>
        </w:rPr>
        <w:t xml:space="preserve">       0.314%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Y-chromosome probes (n = 4; 160, 193, 240, and 283 nt) contributed 25 observations each (male wells only); all other probes (n = 32) contributed 40 observations each. SD MAPE is the standard deviation of per-probe MAPE values within each domain.</w:t>
      </w:r>
    </w:p>
    <w:p>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941060" cy="2571115"/>
            <wp:effectExtent l="0" t="0" r="2540" b="4445"/>
            <wp:docPr id="5" name="Picture 5" descr="Figure6_M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6_MAPE"/>
                    <pic:cNvPicPr>
                      <a:picLocks noChangeAspect="1"/>
                    </pic:cNvPicPr>
                  </pic:nvPicPr>
                  <pic:blipFill>
                    <a:blip r:embed="rId12"/>
                    <a:stretch>
                      <a:fillRect/>
                    </a:stretch>
                  </pic:blipFill>
                  <pic:spPr>
                    <a:xfrm>
                      <a:off x="0" y="0"/>
                      <a:ext cx="5941060" cy="2571115"/>
                    </a:xfrm>
                    <a:prstGeom prst="rect">
                      <a:avLst/>
                    </a:prstGeom>
                  </pic:spPr>
                </pic:pic>
              </a:graphicData>
            </a:graphic>
          </wp:inline>
        </w:drawing>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Figure6. P095 target probe sizing accuracy (n = 1,380) observations; 36 probes; 40 wells; 5 runs).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Left panel: per-probe Mean Absolute Percentage Error (MAPE) colored by size domain (blue = short &lt;200 nt, green = medium 200–400 nt, red = long &gt;400 nt).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Right panel: domain-level mean MAPE. The black dashed line indicates the global MAPE (0.555%); the red dashed line marks the 1% acceptance criterion.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Chromosome-level MAPE values are presented in Table 11. MAPE values were: Chr 21, 0.555%; Chr 18, 0.555%; Chr 13, 0.555%; Chr X, 0.555%; Chr Y, 0.555%. No chromosome deviated from the global mean by more than 0.08 percentage points, indicating that probe-specific sequence composition does not introduce differentially biased electrophoretic mobility across the five target chromosomes. It was found that no substantial differences were observed between chromosomes, indicating that mobility characteristics are primarily length-dependent rather than sequence-dependent, as expected for denatured DNA fragments in capillary electrophoresis (Krebs et al., 2023).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11. P095 target probe MAPE by chromosome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Chromosome</w:t>
      </w:r>
      <w:r>
        <w:rPr>
          <w:rFonts w:hint="default" w:ascii="Times New Roman" w:hAnsi="Times New Roman" w:cs="Times New Roman"/>
          <w:sz w:val="24"/>
          <w:szCs w:val="24"/>
        </w:rPr>
        <w:tab/>
      </w:r>
      <w:r>
        <w:rPr>
          <w:rFonts w:hint="default" w:ascii="Times New Roman" w:hAnsi="Times New Roman" w:cs="Times New Roman"/>
          <w:sz w:val="24"/>
          <w:szCs w:val="24"/>
        </w:rPr>
        <w:t xml:space="preserve">      n probes        n observations</w:t>
      </w:r>
      <w:r>
        <w:rPr>
          <w:rFonts w:hint="default" w:ascii="Times New Roman" w:hAnsi="Times New Roman" w:cs="Times New Roman"/>
          <w:sz w:val="24"/>
          <w:szCs w:val="24"/>
        </w:rPr>
        <w:tab/>
      </w:r>
      <w:r>
        <w:rPr>
          <w:rFonts w:hint="default" w:ascii="Times New Roman" w:hAnsi="Times New Roman" w:cs="Times New Roman"/>
          <w:sz w:val="24"/>
          <w:szCs w:val="24"/>
        </w:rPr>
        <w:t xml:space="preserve">   Mean MAPE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21</w:t>
      </w:r>
      <w:r>
        <w:rPr>
          <w:rFonts w:hint="default" w:ascii="Times New Roman" w:hAnsi="Times New Roman" w:cs="Times New Roman"/>
          <w:sz w:val="24"/>
          <w:szCs w:val="24"/>
        </w:rPr>
        <w:tab/>
      </w:r>
      <w:r>
        <w:rPr>
          <w:rFonts w:hint="default" w:ascii="Times New Roman" w:hAnsi="Times New Roman" w:cs="Times New Roman"/>
          <w:sz w:val="24"/>
          <w:szCs w:val="24"/>
        </w:rPr>
        <w:t xml:space="preserve">                     8</w:t>
      </w:r>
      <w:r>
        <w:rPr>
          <w:rFonts w:hint="default" w:ascii="Times New Roman" w:hAnsi="Times New Roman" w:cs="Times New Roman"/>
          <w:sz w:val="24"/>
          <w:szCs w:val="24"/>
        </w:rPr>
        <w:tab/>
      </w:r>
      <w:r>
        <w:rPr>
          <w:rFonts w:hint="default" w:ascii="Times New Roman" w:hAnsi="Times New Roman" w:cs="Times New Roman"/>
          <w:sz w:val="24"/>
          <w:szCs w:val="24"/>
        </w:rPr>
        <w:t xml:space="preserve">                      320</w:t>
      </w:r>
      <w:r>
        <w:rPr>
          <w:rFonts w:hint="default" w:ascii="Times New Roman" w:hAnsi="Times New Roman" w:cs="Times New Roman"/>
          <w:sz w:val="24"/>
          <w:szCs w:val="24"/>
        </w:rPr>
        <w:tab/>
      </w:r>
      <w:r>
        <w:rPr>
          <w:rFonts w:hint="default" w:ascii="Times New Roman" w:hAnsi="Times New Roman" w:cs="Times New Roman"/>
          <w:sz w:val="24"/>
          <w:szCs w:val="24"/>
        </w:rPr>
        <w:t xml:space="preserve">                  0.484%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18</w:t>
      </w:r>
      <w:r>
        <w:rPr>
          <w:rFonts w:hint="default" w:ascii="Times New Roman" w:hAnsi="Times New Roman" w:cs="Times New Roman"/>
          <w:sz w:val="24"/>
          <w:szCs w:val="24"/>
        </w:rPr>
        <w:tab/>
      </w:r>
      <w:r>
        <w:rPr>
          <w:rFonts w:hint="default" w:ascii="Times New Roman" w:hAnsi="Times New Roman" w:cs="Times New Roman"/>
          <w:sz w:val="24"/>
          <w:szCs w:val="24"/>
        </w:rPr>
        <w:t xml:space="preserve">                    8</w:t>
      </w:r>
      <w:r>
        <w:rPr>
          <w:rFonts w:hint="default" w:ascii="Times New Roman" w:hAnsi="Times New Roman" w:cs="Times New Roman"/>
          <w:sz w:val="24"/>
          <w:szCs w:val="24"/>
        </w:rPr>
        <w:tab/>
      </w:r>
      <w:r>
        <w:rPr>
          <w:rFonts w:hint="default" w:ascii="Times New Roman" w:hAnsi="Times New Roman" w:cs="Times New Roman"/>
          <w:sz w:val="24"/>
          <w:szCs w:val="24"/>
        </w:rPr>
        <w:t xml:space="preserve">                      320</w:t>
      </w:r>
      <w:r>
        <w:rPr>
          <w:rFonts w:hint="default" w:ascii="Times New Roman" w:hAnsi="Times New Roman" w:cs="Times New Roman"/>
          <w:sz w:val="24"/>
          <w:szCs w:val="24"/>
        </w:rPr>
        <w:tab/>
      </w:r>
      <w:r>
        <w:rPr>
          <w:rFonts w:hint="default" w:ascii="Times New Roman" w:hAnsi="Times New Roman" w:cs="Times New Roman"/>
          <w:sz w:val="24"/>
          <w:szCs w:val="24"/>
        </w:rPr>
        <w:t xml:space="preserve">                  0.533%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13</w:t>
      </w:r>
      <w:r>
        <w:rPr>
          <w:rFonts w:hint="default" w:ascii="Times New Roman" w:hAnsi="Times New Roman" w:cs="Times New Roman"/>
          <w:sz w:val="24"/>
          <w:szCs w:val="24"/>
        </w:rPr>
        <w:tab/>
      </w:r>
      <w:r>
        <w:rPr>
          <w:rFonts w:hint="default" w:ascii="Times New Roman" w:hAnsi="Times New Roman" w:cs="Times New Roman"/>
          <w:sz w:val="24"/>
          <w:szCs w:val="24"/>
        </w:rPr>
        <w:t xml:space="preserve">                    8</w:t>
      </w:r>
      <w:r>
        <w:rPr>
          <w:rFonts w:hint="default" w:ascii="Times New Roman" w:hAnsi="Times New Roman" w:cs="Times New Roman"/>
          <w:sz w:val="24"/>
          <w:szCs w:val="24"/>
        </w:rPr>
        <w:tab/>
      </w:r>
      <w:r>
        <w:rPr>
          <w:rFonts w:hint="default" w:ascii="Times New Roman" w:hAnsi="Times New Roman" w:cs="Times New Roman"/>
          <w:sz w:val="24"/>
          <w:szCs w:val="24"/>
        </w:rPr>
        <w:t xml:space="preserve">                      320</w:t>
      </w:r>
      <w:r>
        <w:rPr>
          <w:rFonts w:hint="default" w:ascii="Times New Roman" w:hAnsi="Times New Roman" w:cs="Times New Roman"/>
          <w:sz w:val="24"/>
          <w:szCs w:val="24"/>
        </w:rPr>
        <w:tab/>
      </w:r>
      <w:r>
        <w:rPr>
          <w:rFonts w:hint="default" w:ascii="Times New Roman" w:hAnsi="Times New Roman" w:cs="Times New Roman"/>
          <w:sz w:val="24"/>
          <w:szCs w:val="24"/>
        </w:rPr>
        <w:t xml:space="preserve">                  0.587%</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X</w:t>
      </w:r>
      <w:r>
        <w:rPr>
          <w:rFonts w:hint="default" w:ascii="Times New Roman" w:hAnsi="Times New Roman" w:cs="Times New Roman"/>
          <w:sz w:val="24"/>
          <w:szCs w:val="24"/>
        </w:rPr>
        <w:tab/>
      </w:r>
      <w:r>
        <w:rPr>
          <w:rFonts w:hint="default" w:ascii="Times New Roman" w:hAnsi="Times New Roman" w:cs="Times New Roman"/>
          <w:sz w:val="24"/>
          <w:szCs w:val="24"/>
        </w:rPr>
        <w:t xml:space="preserve">                    8</w:t>
      </w:r>
      <w:r>
        <w:rPr>
          <w:rFonts w:hint="default" w:ascii="Times New Roman" w:hAnsi="Times New Roman" w:cs="Times New Roman"/>
          <w:sz w:val="24"/>
          <w:szCs w:val="24"/>
        </w:rPr>
        <w:tab/>
      </w:r>
      <w:r>
        <w:rPr>
          <w:rFonts w:hint="default" w:ascii="Times New Roman" w:hAnsi="Times New Roman" w:cs="Times New Roman"/>
          <w:sz w:val="24"/>
          <w:szCs w:val="24"/>
        </w:rPr>
        <w:t xml:space="preserve">                      320</w:t>
      </w:r>
      <w:r>
        <w:rPr>
          <w:rFonts w:hint="default" w:ascii="Times New Roman" w:hAnsi="Times New Roman" w:cs="Times New Roman"/>
          <w:sz w:val="24"/>
          <w:szCs w:val="24"/>
        </w:rPr>
        <w:tab/>
      </w:r>
      <w:r>
        <w:rPr>
          <w:rFonts w:hint="default" w:ascii="Times New Roman" w:hAnsi="Times New Roman" w:cs="Times New Roman"/>
          <w:sz w:val="24"/>
          <w:szCs w:val="24"/>
        </w:rPr>
        <w:t xml:space="preserve">                  0.609%</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Y</w:t>
      </w:r>
      <w:r>
        <w:rPr>
          <w:rFonts w:hint="default" w:ascii="Times New Roman" w:hAnsi="Times New Roman" w:cs="Times New Roman"/>
          <w:sz w:val="24"/>
          <w:szCs w:val="24"/>
        </w:rPr>
        <w:tab/>
      </w:r>
      <w:r>
        <w:rPr>
          <w:rFonts w:hint="default" w:ascii="Times New Roman" w:hAnsi="Times New Roman" w:cs="Times New Roman"/>
          <w:sz w:val="24"/>
          <w:szCs w:val="24"/>
        </w:rPr>
        <w:t xml:space="preserve">                    4</w:t>
      </w:r>
      <w:r>
        <w:rPr>
          <w:rFonts w:hint="default" w:ascii="Times New Roman" w:hAnsi="Times New Roman" w:cs="Times New Roman"/>
          <w:sz w:val="24"/>
          <w:szCs w:val="24"/>
        </w:rPr>
        <w:tab/>
      </w:r>
      <w:r>
        <w:rPr>
          <w:rFonts w:hint="default" w:ascii="Times New Roman" w:hAnsi="Times New Roman" w:cs="Times New Roman"/>
          <w:sz w:val="24"/>
          <w:szCs w:val="24"/>
        </w:rPr>
        <w:t xml:space="preserve">                      100</w:t>
      </w:r>
      <w:r>
        <w:rPr>
          <w:rFonts w:hint="default" w:ascii="Times New Roman" w:hAnsi="Times New Roman" w:cs="Times New Roman"/>
          <w:sz w:val="24"/>
          <w:szCs w:val="24"/>
        </w:rPr>
        <w:tab/>
      </w:r>
      <w:r>
        <w:rPr>
          <w:rFonts w:hint="default" w:ascii="Times New Roman" w:hAnsi="Times New Roman" w:cs="Times New Roman"/>
          <w:sz w:val="24"/>
          <w:szCs w:val="24"/>
        </w:rPr>
        <w:t xml:space="preserve">                  0.575%</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Chr Y probes (n = 4) contributed 25 observations each (male donors only), giving 100 total Chr Y observations. All other chromosomes: 8 probes × 40 observations = 320 each.  </w:t>
      </w:r>
    </w:p>
    <w:p>
      <w:pPr>
        <w:pStyle w:val="49"/>
        <w:numPr>
          <w:ilvl w:val="2"/>
          <w:numId w:val="8"/>
        </w:numPr>
        <w:spacing w:line="360" w:lineRule="auto"/>
        <w:jc w:val="both"/>
        <w:rPr>
          <w:rFonts w:hint="default" w:ascii="Times New Roman" w:hAnsi="Times New Roman" w:cs="Times New Roman"/>
          <w:b/>
          <w:color w:val="FF0000"/>
          <w:sz w:val="24"/>
          <w:szCs w:val="24"/>
        </w:rPr>
      </w:pPr>
      <w:r>
        <w:rPr>
          <w:rFonts w:hint="default" w:ascii="Times New Roman" w:hAnsi="Times New Roman" w:cs="Times New Roman"/>
          <w:sz w:val="24"/>
          <w:szCs w:val="24"/>
        </w:rPr>
        <w:t xml:space="preserve"> Probe-Specific Bias and Precision Results</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All 36 target probes demonstrated excellent precision, characterized by standard deviations from 0.02 to 1.492 nt and CV% ≤ 0.05%. Mean biases for all fragment sizes were consistent with the baseline instrument behavior defined for each domain, where short fragments (&lt;200 nt) displayed positive biases (+0.35 to +1.492 nt), medium (200-400 nt) showed varying biases from -1.57 to +1.492 nt, and long (&gt;400 nt) showed positive biases from +0.52 to +1.492 nt. Representative probe-specific results for the three domains are presented in Table 14. Complete mobility results for all 36 probes are listed in Supplementary Table S3.</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12. Representative Probe-specific mobility results by size domain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Domain     Probe ID           Chr  Nominal Size (nt) Mean Observed(nt) Mean Bias(nt)  MAPE(%)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Short         00813‑L00636   21            166</w:t>
      </w:r>
      <w:r>
        <w:rPr>
          <w:rFonts w:hint="default" w:ascii="Times New Roman" w:hAnsi="Times New Roman" w:cs="Times New Roman"/>
          <w:sz w:val="24"/>
          <w:szCs w:val="24"/>
        </w:rPr>
        <w:tab/>
      </w:r>
      <w:r>
        <w:rPr>
          <w:rFonts w:hint="default" w:ascii="Times New Roman" w:hAnsi="Times New Roman" w:cs="Times New Roman"/>
          <w:sz w:val="24"/>
          <w:szCs w:val="24"/>
        </w:rPr>
        <w:t xml:space="preserve">              167.02</w:t>
      </w:r>
      <w:r>
        <w:rPr>
          <w:rFonts w:hint="default" w:ascii="Times New Roman" w:hAnsi="Times New Roman" w:cs="Times New Roman"/>
          <w:sz w:val="24"/>
          <w:szCs w:val="24"/>
        </w:rPr>
        <w:tab/>
      </w:r>
      <w:r>
        <w:rPr>
          <w:rFonts w:hint="default" w:ascii="Times New Roman" w:hAnsi="Times New Roman" w:cs="Times New Roman"/>
          <w:sz w:val="24"/>
          <w:szCs w:val="24"/>
        </w:rPr>
        <w:t xml:space="preserve">        +1.02</w:t>
      </w:r>
      <w:r>
        <w:rPr>
          <w:rFonts w:hint="default" w:ascii="Times New Roman" w:hAnsi="Times New Roman" w:cs="Times New Roman"/>
          <w:sz w:val="24"/>
          <w:szCs w:val="24"/>
        </w:rPr>
        <w:tab/>
      </w:r>
      <w:r>
        <w:rPr>
          <w:rFonts w:hint="default" w:ascii="Times New Roman" w:hAnsi="Times New Roman" w:cs="Times New Roman"/>
          <w:sz w:val="24"/>
          <w:szCs w:val="24"/>
        </w:rPr>
        <w:t xml:space="preserve">         0.52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02155‑L01607   X</w:t>
      </w:r>
      <w:r>
        <w:rPr>
          <w:rFonts w:hint="default" w:ascii="Times New Roman" w:hAnsi="Times New Roman" w:cs="Times New Roman"/>
          <w:sz w:val="24"/>
          <w:szCs w:val="24"/>
        </w:rPr>
        <w:tab/>
      </w:r>
      <w:r>
        <w:rPr>
          <w:rFonts w:hint="default" w:ascii="Times New Roman" w:hAnsi="Times New Roman" w:cs="Times New Roman"/>
          <w:sz w:val="24"/>
          <w:szCs w:val="24"/>
        </w:rPr>
        <w:t xml:space="preserve">             184</w:t>
      </w:r>
      <w:r>
        <w:rPr>
          <w:rFonts w:hint="default" w:ascii="Times New Roman" w:hAnsi="Times New Roman" w:cs="Times New Roman"/>
          <w:sz w:val="24"/>
          <w:szCs w:val="24"/>
        </w:rPr>
        <w:tab/>
      </w:r>
      <w:r>
        <w:rPr>
          <w:rFonts w:hint="default" w:ascii="Times New Roman" w:hAnsi="Times New Roman" w:cs="Times New Roman"/>
          <w:sz w:val="24"/>
          <w:szCs w:val="24"/>
        </w:rPr>
        <w:t xml:space="preserve">              186.50</w:t>
      </w:r>
      <w:r>
        <w:rPr>
          <w:rFonts w:hint="default" w:ascii="Times New Roman" w:hAnsi="Times New Roman" w:cs="Times New Roman"/>
          <w:sz w:val="24"/>
          <w:szCs w:val="24"/>
        </w:rPr>
        <w:tab/>
      </w:r>
      <w:r>
        <w:rPr>
          <w:rFonts w:hint="default" w:ascii="Times New Roman" w:hAnsi="Times New Roman" w:cs="Times New Roman"/>
          <w:sz w:val="24"/>
          <w:szCs w:val="24"/>
        </w:rPr>
        <w:t xml:space="preserve">        +2.50</w:t>
      </w:r>
      <w:r>
        <w:rPr>
          <w:rFonts w:hint="default" w:ascii="Times New Roman" w:hAnsi="Times New Roman" w:cs="Times New Roman"/>
          <w:sz w:val="24"/>
          <w:szCs w:val="24"/>
        </w:rPr>
        <w:tab/>
      </w:r>
      <w:r>
        <w:rPr>
          <w:rFonts w:hint="default" w:ascii="Times New Roman" w:hAnsi="Times New Roman" w:cs="Times New Roman"/>
          <w:sz w:val="24"/>
          <w:szCs w:val="24"/>
        </w:rPr>
        <w:t xml:space="preserve">         0.59</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     02116‑L01604   21</w:t>
      </w:r>
      <w:r>
        <w:rPr>
          <w:rFonts w:hint="default" w:ascii="Times New Roman" w:hAnsi="Times New Roman" w:cs="Times New Roman"/>
          <w:sz w:val="24"/>
          <w:szCs w:val="24"/>
        </w:rPr>
        <w:tab/>
      </w:r>
      <w:r>
        <w:rPr>
          <w:rFonts w:hint="default" w:ascii="Times New Roman" w:hAnsi="Times New Roman" w:cs="Times New Roman"/>
          <w:sz w:val="24"/>
          <w:szCs w:val="24"/>
        </w:rPr>
        <w:t xml:space="preserve">  291</w:t>
      </w:r>
      <w:r>
        <w:rPr>
          <w:rFonts w:hint="default" w:ascii="Times New Roman" w:hAnsi="Times New Roman" w:cs="Times New Roman"/>
          <w:sz w:val="24"/>
          <w:szCs w:val="24"/>
        </w:rPr>
        <w:tab/>
      </w:r>
      <w:r>
        <w:rPr>
          <w:rFonts w:hint="default" w:ascii="Times New Roman" w:hAnsi="Times New Roman" w:cs="Times New Roman"/>
          <w:sz w:val="24"/>
          <w:szCs w:val="24"/>
        </w:rPr>
        <w:t xml:space="preserve">              289.81</w:t>
      </w:r>
      <w:r>
        <w:rPr>
          <w:rFonts w:hint="default" w:ascii="Times New Roman" w:hAnsi="Times New Roman" w:cs="Times New Roman"/>
          <w:sz w:val="24"/>
          <w:szCs w:val="24"/>
        </w:rPr>
        <w:tab/>
      </w:r>
      <w:r>
        <w:rPr>
          <w:rFonts w:hint="default" w:ascii="Times New Roman" w:hAnsi="Times New Roman" w:cs="Times New Roman"/>
          <w:sz w:val="24"/>
          <w:szCs w:val="24"/>
        </w:rPr>
        <w:t xml:space="preserve">        –1.19</w:t>
      </w:r>
      <w:r>
        <w:rPr>
          <w:rFonts w:hint="default" w:ascii="Times New Roman" w:hAnsi="Times New Roman" w:cs="Times New Roman"/>
          <w:sz w:val="24"/>
          <w:szCs w:val="24"/>
        </w:rPr>
        <w:tab/>
      </w:r>
      <w:r>
        <w:rPr>
          <w:rFonts w:hint="default" w:ascii="Times New Roman" w:hAnsi="Times New Roman" w:cs="Times New Roman"/>
          <w:sz w:val="24"/>
          <w:szCs w:val="24"/>
        </w:rPr>
        <w:t xml:space="preserve">         0.32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00811‑L00329    18</w:t>
      </w:r>
      <w:r>
        <w:rPr>
          <w:rFonts w:hint="default" w:ascii="Times New Roman" w:hAnsi="Times New Roman" w:cs="Times New Roman"/>
          <w:sz w:val="24"/>
          <w:szCs w:val="24"/>
        </w:rPr>
        <w:tab/>
      </w:r>
      <w:r>
        <w:rPr>
          <w:rFonts w:hint="default" w:ascii="Times New Roman" w:hAnsi="Times New Roman" w:cs="Times New Roman"/>
          <w:sz w:val="24"/>
          <w:szCs w:val="24"/>
        </w:rPr>
        <w:t xml:space="preserve">  301</w:t>
      </w:r>
      <w:r>
        <w:rPr>
          <w:rFonts w:hint="default" w:ascii="Times New Roman" w:hAnsi="Times New Roman" w:cs="Times New Roman"/>
          <w:sz w:val="24"/>
          <w:szCs w:val="24"/>
        </w:rPr>
        <w:tab/>
      </w:r>
      <w:r>
        <w:rPr>
          <w:rFonts w:hint="default" w:ascii="Times New Roman" w:hAnsi="Times New Roman" w:cs="Times New Roman"/>
          <w:sz w:val="24"/>
          <w:szCs w:val="24"/>
        </w:rPr>
        <w:t xml:space="preserve">              299.54</w:t>
      </w:r>
      <w:r>
        <w:rPr>
          <w:rFonts w:hint="default" w:ascii="Times New Roman" w:hAnsi="Times New Roman" w:cs="Times New Roman"/>
          <w:sz w:val="24"/>
          <w:szCs w:val="24"/>
        </w:rPr>
        <w:tab/>
      </w:r>
      <w:r>
        <w:rPr>
          <w:rFonts w:hint="default" w:ascii="Times New Roman" w:hAnsi="Times New Roman" w:cs="Times New Roman"/>
          <w:sz w:val="24"/>
          <w:szCs w:val="24"/>
        </w:rPr>
        <w:t xml:space="preserve">        –1.46</w:t>
      </w:r>
      <w:r>
        <w:rPr>
          <w:rFonts w:hint="default" w:ascii="Times New Roman" w:hAnsi="Times New Roman" w:cs="Times New Roman"/>
          <w:sz w:val="24"/>
          <w:szCs w:val="24"/>
        </w:rPr>
        <w:tab/>
      </w:r>
      <w:r>
        <w:rPr>
          <w:rFonts w:hint="default" w:ascii="Times New Roman" w:hAnsi="Times New Roman" w:cs="Times New Roman"/>
          <w:sz w:val="24"/>
          <w:szCs w:val="24"/>
        </w:rPr>
        <w:t xml:space="preserve">         0.28</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Long</w:t>
      </w:r>
      <w:r>
        <w:rPr>
          <w:rFonts w:hint="default" w:ascii="Times New Roman" w:hAnsi="Times New Roman" w:cs="Times New Roman"/>
          <w:sz w:val="24"/>
          <w:szCs w:val="24"/>
        </w:rPr>
        <w:tab/>
      </w:r>
      <w:r>
        <w:rPr>
          <w:rFonts w:hint="default" w:ascii="Times New Roman" w:hAnsi="Times New Roman" w:cs="Times New Roman"/>
          <w:sz w:val="24"/>
          <w:szCs w:val="24"/>
        </w:rPr>
        <w:t xml:space="preserve">      00452‑L00360   13</w:t>
      </w:r>
      <w:r>
        <w:rPr>
          <w:rFonts w:hint="default" w:ascii="Times New Roman" w:hAnsi="Times New Roman" w:cs="Times New Roman"/>
          <w:sz w:val="24"/>
          <w:szCs w:val="24"/>
        </w:rPr>
        <w:tab/>
      </w:r>
      <w:r>
        <w:rPr>
          <w:rFonts w:hint="default" w:ascii="Times New Roman" w:hAnsi="Times New Roman" w:cs="Times New Roman"/>
          <w:sz w:val="24"/>
          <w:szCs w:val="24"/>
        </w:rPr>
        <w:t xml:space="preserve">  355</w:t>
      </w:r>
      <w:r>
        <w:rPr>
          <w:rFonts w:hint="default" w:ascii="Times New Roman" w:hAnsi="Times New Roman" w:cs="Times New Roman"/>
          <w:sz w:val="24"/>
          <w:szCs w:val="24"/>
        </w:rPr>
        <w:tab/>
      </w:r>
      <w:r>
        <w:rPr>
          <w:rFonts w:hint="default" w:ascii="Times New Roman" w:hAnsi="Times New Roman" w:cs="Times New Roman"/>
          <w:sz w:val="24"/>
          <w:szCs w:val="24"/>
        </w:rPr>
        <w:t xml:space="preserve">              358.32</w:t>
      </w:r>
      <w:r>
        <w:rPr>
          <w:rFonts w:hint="default" w:ascii="Times New Roman" w:hAnsi="Times New Roman" w:cs="Times New Roman"/>
          <w:sz w:val="24"/>
          <w:szCs w:val="24"/>
        </w:rPr>
        <w:tab/>
      </w:r>
      <w:r>
        <w:rPr>
          <w:rFonts w:hint="default" w:ascii="Times New Roman" w:hAnsi="Times New Roman" w:cs="Times New Roman"/>
          <w:sz w:val="24"/>
          <w:szCs w:val="24"/>
        </w:rPr>
        <w:t xml:space="preserve">        +3.32</w:t>
      </w:r>
      <w:r>
        <w:rPr>
          <w:rFonts w:hint="default" w:ascii="Times New Roman" w:hAnsi="Times New Roman" w:cs="Times New Roman"/>
          <w:sz w:val="24"/>
          <w:szCs w:val="24"/>
        </w:rPr>
        <w:tab/>
      </w:r>
      <w:r>
        <w:rPr>
          <w:rFonts w:hint="default" w:ascii="Times New Roman" w:hAnsi="Times New Roman" w:cs="Times New Roman"/>
          <w:sz w:val="24"/>
          <w:szCs w:val="24"/>
        </w:rPr>
        <w:t xml:space="preserve">         0.39</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02834‑L02265    21</w:t>
      </w:r>
      <w:r>
        <w:rPr>
          <w:rFonts w:hint="default" w:ascii="Times New Roman" w:hAnsi="Times New Roman" w:cs="Times New Roman"/>
          <w:sz w:val="24"/>
          <w:szCs w:val="24"/>
        </w:rPr>
        <w:tab/>
      </w:r>
      <w:r>
        <w:rPr>
          <w:rFonts w:hint="default" w:ascii="Times New Roman" w:hAnsi="Times New Roman" w:cs="Times New Roman"/>
          <w:sz w:val="24"/>
          <w:szCs w:val="24"/>
        </w:rPr>
        <w:t xml:space="preserve">  382</w:t>
      </w:r>
      <w:r>
        <w:rPr>
          <w:rFonts w:hint="default" w:ascii="Times New Roman" w:hAnsi="Times New Roman" w:cs="Times New Roman"/>
          <w:sz w:val="24"/>
          <w:szCs w:val="24"/>
        </w:rPr>
        <w:tab/>
      </w:r>
      <w:r>
        <w:rPr>
          <w:rFonts w:hint="default" w:ascii="Times New Roman" w:hAnsi="Times New Roman" w:cs="Times New Roman"/>
          <w:sz w:val="24"/>
          <w:szCs w:val="24"/>
        </w:rPr>
        <w:t xml:space="preserve">              385.44</w:t>
      </w:r>
      <w:r>
        <w:rPr>
          <w:rFonts w:hint="default" w:ascii="Times New Roman" w:hAnsi="Times New Roman" w:cs="Times New Roman"/>
          <w:sz w:val="24"/>
          <w:szCs w:val="24"/>
        </w:rPr>
        <w:tab/>
      </w:r>
      <w:r>
        <w:rPr>
          <w:rFonts w:hint="default" w:ascii="Times New Roman" w:hAnsi="Times New Roman" w:cs="Times New Roman"/>
          <w:sz w:val="24"/>
          <w:szCs w:val="24"/>
        </w:rPr>
        <w:t xml:space="preserve">        +3.44</w:t>
      </w:r>
      <w:r>
        <w:rPr>
          <w:rFonts w:hint="default" w:ascii="Times New Roman" w:hAnsi="Times New Roman" w:cs="Times New Roman"/>
          <w:sz w:val="24"/>
          <w:szCs w:val="24"/>
        </w:rPr>
        <w:tab/>
      </w:r>
      <w:r>
        <w:rPr>
          <w:rFonts w:hint="default" w:ascii="Times New Roman" w:hAnsi="Times New Roman" w:cs="Times New Roman"/>
          <w:sz w:val="24"/>
          <w:szCs w:val="24"/>
        </w:rPr>
        <w:t xml:space="preserve">         0.34</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Precision, as indicated by the standard deviation (SD) of the fragment size distribution among the 40 MLPA test wells, was excellent for all probes tested. The global mean SD was 1.492 nt (range 0.02–1.492 nt), while the domain-specific mean SD was 1.492 nt for short fragments &lt;200 nt, 1.492 nt for medium fragments 200–400 nt, and 1.492 nt for long fragments &gt;400 nt. These results are consistent with the precision obtained from the size standard analysis and are within the required range for high-resolution fragment analysis (Krebs et al., 2023). The coefficients of variation (CV%) were between 0.00% and 0.05%, indicating that the high level of reproducibility is independent of the fragment lengths.</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Bland‑Altman Analysis of Probe mobility</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 xml:space="preserve">The Bland–Altman analysis of probe mobility evaluated the agreement between observed and nominal fragment sizes across 1,380 valid observations (32 autosomal/X-linked probes across 40 wells, and 4 Y-linked probes across 25 male wells). The analysis showed a mean difference (bias) of +1.492 nt, with 95% limits of agreement ranging from –1.404 to +1.492 nt (figure 7). Furthermore, assessment of between-run reproducibility demonstrated that this mean bias remained exceptionally stable (+1.492 nt) across all five independent runs. Overall, these findings demonstrate excellent agreement between observed and expected probe lengths, confirming the high sizing precision and robust analytical stability of the capillary electrophoresis workflow (Bland and Altman, 1986; Giavarina, 2015)." </w:t>
      </w:r>
    </w:p>
    <w:p>
      <w:pPr>
        <w:spacing w:line="360" w:lineRule="auto"/>
        <w:jc w:val="both"/>
        <w:rPr>
          <w:rFonts w:hint="default" w:ascii="Times New Roman" w:hAnsi="Times New Roman" w:cs="Times New Roman"/>
          <w:sz w:val="24"/>
          <w:szCs w:val="24"/>
        </w:rPr>
      </w:pPr>
    </w:p>
    <w:p>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942330" cy="3816985"/>
            <wp:effectExtent l="0" t="0" r="1270" b="8255"/>
            <wp:docPr id="6" name="Picture 6" descr="Figure7_BlandAlt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7_BlandAltman"/>
                    <pic:cNvPicPr>
                      <a:picLocks noChangeAspect="1"/>
                    </pic:cNvPicPr>
                  </pic:nvPicPr>
                  <pic:blipFill>
                    <a:blip r:embed="rId13"/>
                    <a:stretch>
                      <a:fillRect/>
                    </a:stretch>
                  </pic:blipFill>
                  <pic:spPr>
                    <a:xfrm>
                      <a:off x="0" y="0"/>
                      <a:ext cx="5942330" cy="3816985"/>
                    </a:xfrm>
                    <a:prstGeom prst="rect">
                      <a:avLst/>
                    </a:prstGeom>
                  </pic:spPr>
                </pic:pic>
              </a:graphicData>
            </a:graphic>
          </wp:inline>
        </w:drawing>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Figure7. Bland–Altman analysis of P095-A4 probe mobility under the DS-36 matrix.</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plot shows the difference (observed − nominal) against the mean of observed and nominal 1size for all target probe observations. The solid red line indicates the mean bias; the dashed red lines indicate the 95% limits of agreement (±1.96 SD).</w:t>
      </w:r>
    </w:p>
    <w:p>
      <w:pPr>
        <w:pStyle w:val="49"/>
        <w:numPr>
          <w:ilvl w:val="2"/>
          <w:numId w:val="8"/>
        </w:numPr>
        <w:spacing w:line="360" w:lineRule="auto"/>
        <w:jc w:val="both"/>
        <w:rPr>
          <w:rFonts w:hint="default" w:ascii="Times New Roman" w:hAnsi="Times New Roman" w:cs="Times New Roman"/>
          <w:b/>
          <w:sz w:val="24"/>
          <w:szCs w:val="24"/>
        </w:rPr>
      </w:pPr>
      <w:r>
        <w:rPr>
          <w:rFonts w:hint="default" w:ascii="Times New Roman" w:hAnsi="Times New Roman" w:cs="Times New Roman"/>
          <w:b/>
          <w:bCs/>
          <w:sz w:val="24"/>
          <w:szCs w:val="24"/>
        </w:rPr>
        <w:t>Comparison of probe performance with Size Standard Performance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domain-specific MAPE results of the P095 probes align closely with the bias patterns observed in the MRC 550 size standard analysis (Section 3.2.1). Comparison results between probe performance and size standard performance are presented in Table 15.</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Table 15: Comparison of electrophoretic performance between P095 probes and MRC 550Size Standard fragments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Size standard Domain</w:t>
      </w:r>
      <w:r>
        <w:rPr>
          <w:rFonts w:hint="default" w:ascii="Times New Roman" w:hAnsi="Times New Roman" w:cs="Times New Roman"/>
          <w:sz w:val="24"/>
          <w:szCs w:val="24"/>
        </w:rPr>
        <w:tab/>
      </w:r>
      <w:r>
        <w:rPr>
          <w:rFonts w:hint="default" w:ascii="Times New Roman" w:hAnsi="Times New Roman" w:cs="Times New Roman"/>
          <w:sz w:val="24"/>
          <w:szCs w:val="24"/>
        </w:rPr>
        <w:t xml:space="preserve"> Size Standard Bias (nt)    Probe Domain</w:t>
      </w:r>
      <w:r>
        <w:rPr>
          <w:rFonts w:hint="default" w:ascii="Times New Roman" w:hAnsi="Times New Roman" w:cs="Times New Roman"/>
          <w:sz w:val="24"/>
          <w:szCs w:val="24"/>
        </w:rPr>
        <w:tab/>
      </w:r>
      <w:r>
        <w:rPr>
          <w:rFonts w:hint="default" w:ascii="Times New Roman" w:hAnsi="Times New Roman" w:cs="Times New Roman"/>
          <w:sz w:val="24"/>
          <w:szCs w:val="24"/>
        </w:rPr>
        <w:t>Probe MAPE(%) Consistency</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Short (58–200 nt)</w:t>
      </w:r>
      <w:r>
        <w:rPr>
          <w:rFonts w:hint="default" w:ascii="Times New Roman" w:hAnsi="Times New Roman" w:cs="Times New Roman"/>
          <w:sz w:val="24"/>
          <w:szCs w:val="24"/>
        </w:rPr>
        <w:tab/>
      </w:r>
      <w:r>
        <w:rPr>
          <w:rFonts w:hint="default" w:ascii="Times New Roman" w:hAnsi="Times New Roman" w:cs="Times New Roman"/>
          <w:sz w:val="24"/>
          <w:szCs w:val="24"/>
        </w:rPr>
        <w:t xml:space="preserve">          +0.35 nt </w:t>
      </w:r>
      <w:r>
        <w:rPr>
          <w:rFonts w:hint="default" w:ascii="Times New Roman" w:hAnsi="Times New Roman" w:cs="Times New Roman"/>
          <w:sz w:val="24"/>
          <w:szCs w:val="24"/>
        </w:rPr>
        <w:tab/>
      </w:r>
      <w:r>
        <w:rPr>
          <w:rFonts w:hint="default" w:ascii="Times New Roman" w:hAnsi="Times New Roman" w:cs="Times New Roman"/>
          <w:sz w:val="24"/>
          <w:szCs w:val="24"/>
        </w:rPr>
        <w:t xml:space="preserve">      Short (&lt;200 nt)             0.685            Consistent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 (201–350 nt)</w:t>
      </w:r>
      <w:r>
        <w:rPr>
          <w:rFonts w:hint="default" w:ascii="Times New Roman" w:hAnsi="Times New Roman" w:cs="Times New Roman"/>
          <w:sz w:val="24"/>
          <w:szCs w:val="24"/>
        </w:rPr>
        <w:tab/>
      </w:r>
      <w:r>
        <w:rPr>
          <w:rFonts w:hint="default" w:ascii="Times New Roman" w:hAnsi="Times New Roman" w:cs="Times New Roman"/>
          <w:sz w:val="24"/>
          <w:szCs w:val="24"/>
        </w:rPr>
        <w:t xml:space="preserve">          +0.36 nt </w:t>
      </w:r>
      <w:r>
        <w:rPr>
          <w:rFonts w:hint="default" w:ascii="Times New Roman" w:hAnsi="Times New Roman" w:cs="Times New Roman"/>
          <w:sz w:val="24"/>
          <w:szCs w:val="24"/>
        </w:rPr>
        <w:tab/>
      </w:r>
      <w:r>
        <w:rPr>
          <w:rFonts w:hint="default" w:ascii="Times New Roman" w:hAnsi="Times New Roman" w:cs="Times New Roman"/>
          <w:sz w:val="24"/>
          <w:szCs w:val="24"/>
        </w:rPr>
        <w:t xml:space="preserve">      Medium (200–400 nt)   0.542            Consistent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Long (351–550 nt)</w:t>
      </w:r>
      <w:r>
        <w:rPr>
          <w:rFonts w:hint="default" w:ascii="Times New Roman" w:hAnsi="Times New Roman" w:cs="Times New Roman"/>
          <w:sz w:val="24"/>
          <w:szCs w:val="24"/>
        </w:rPr>
        <w:tab/>
      </w:r>
      <w:r>
        <w:rPr>
          <w:rFonts w:hint="default" w:ascii="Times New Roman" w:hAnsi="Times New Roman" w:cs="Times New Roman"/>
          <w:sz w:val="24"/>
          <w:szCs w:val="24"/>
        </w:rPr>
        <w:t xml:space="preserve">          −0.49 nt </w:t>
      </w:r>
      <w:r>
        <w:rPr>
          <w:rFonts w:hint="default" w:ascii="Times New Roman" w:hAnsi="Times New Roman" w:cs="Times New Roman"/>
          <w:sz w:val="24"/>
          <w:szCs w:val="24"/>
        </w:rPr>
        <w:tab/>
      </w:r>
      <w:r>
        <w:rPr>
          <w:rFonts w:hint="default" w:ascii="Times New Roman" w:hAnsi="Times New Roman" w:cs="Times New Roman"/>
          <w:sz w:val="24"/>
          <w:szCs w:val="24"/>
        </w:rPr>
        <w:t xml:space="preserve">      Long (&gt;400 nt)             0.356             Consistent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consistency confirms that the observed probe mobility characteristics are systematic and instrument-related rather than probe-specific artifacts (Krebs et al., 2023).</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Acceptance criteria</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 xml:space="preserve">All performance metrics for the evaluable probes met the predetermined acceptance criteria. Overall MAPE was 0.555%, which met the acceptance criterion of &lt;0.555% and fell within established performance benchmarks for high-precision capillary electrophoresis (Krebs et al., 2023). The mean sizing standard deviation of 1.492 nt was also within the CLSI EP15-A3 (2014) precision verification threshold of ≤1.492 nt. Most importantly, 36/36 (100%) target probes met the full validation compliance criteria, exceeding the predetermined threshold of 90%. These data show that the interoperable MLPA workflow has consistent sizing fidelity across all probe sizes. Probe identity accounts for 0.555% of total sizing variance, confirming that mobility characteristics are systematic instrument-related variations and not probe-specific artifacts, thus confirming the robustness of the workflow for clinical aneuploidy detection. </w:t>
      </w:r>
    </w:p>
    <w:p>
      <w:pPr>
        <w:pStyle w:val="49"/>
        <w:numPr>
          <w:ilvl w:val="1"/>
          <w:numId w:val="8"/>
        </w:numPr>
        <w:spacing w:line="360" w:lineRule="auto"/>
        <w:jc w:val="both"/>
        <w:rPr>
          <w:rFonts w:hint="default" w:ascii="Times New Roman" w:hAnsi="Times New Roman" w:cs="Times New Roman"/>
          <w:b/>
          <w:sz w:val="24"/>
          <w:szCs w:val="24"/>
        </w:rPr>
      </w:pPr>
      <w:r>
        <w:rPr>
          <w:rFonts w:hint="default" w:ascii="Times New Roman" w:hAnsi="Times New Roman" w:cs="Times New Roman"/>
          <w:b/>
          <w:bCs/>
          <w:sz w:val="24"/>
          <w:szCs w:val="24"/>
        </w:rPr>
        <w:t>Inter-Sample Diagnostic Precision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confirm the stability of the systematic biases identified earlier, inter-sample precision was evaluated using four representative DNA samples (S295, S395, S795, S1495), as described in Section 2.5.4. Fragment size results for the selected sentinel probes are presented in Table 16.</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16. Raw observed fragment sizes (nt) for selected sentinel probes across four representative samples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Probe ID</w:t>
      </w:r>
      <w:r>
        <w:rPr>
          <w:rFonts w:hint="default" w:ascii="Times New Roman" w:hAnsi="Times New Roman" w:cs="Times New Roman"/>
          <w:sz w:val="24"/>
          <w:szCs w:val="24"/>
        </w:rPr>
        <w:tab/>
      </w:r>
      <w:r>
        <w:rPr>
          <w:rFonts w:hint="default" w:ascii="Times New Roman" w:hAnsi="Times New Roman" w:cs="Times New Roman"/>
          <w:sz w:val="24"/>
          <w:szCs w:val="24"/>
        </w:rPr>
        <w:t xml:space="preserve"> Nominal (nt)</w:t>
      </w:r>
      <w:r>
        <w:rPr>
          <w:rFonts w:hint="default" w:ascii="Times New Roman" w:hAnsi="Times New Roman" w:cs="Times New Roman"/>
          <w:sz w:val="24"/>
          <w:szCs w:val="24"/>
        </w:rPr>
        <w:tab/>
      </w:r>
      <w:r>
        <w:rPr>
          <w:rFonts w:hint="default" w:ascii="Times New Roman" w:hAnsi="Times New Roman" w:cs="Times New Roman"/>
          <w:sz w:val="24"/>
          <w:szCs w:val="24"/>
        </w:rPr>
        <w:t xml:space="preserve">     S295</w:t>
      </w:r>
      <w:r>
        <w:rPr>
          <w:rFonts w:hint="default" w:ascii="Times New Roman" w:hAnsi="Times New Roman" w:cs="Times New Roman"/>
          <w:sz w:val="24"/>
          <w:szCs w:val="24"/>
        </w:rPr>
        <w:tab/>
      </w:r>
      <w:r>
        <w:rPr>
          <w:rFonts w:hint="default" w:ascii="Times New Roman" w:hAnsi="Times New Roman" w:cs="Times New Roman"/>
          <w:sz w:val="24"/>
          <w:szCs w:val="24"/>
        </w:rPr>
        <w:t xml:space="preserve">  S395</w:t>
      </w:r>
      <w:r>
        <w:rPr>
          <w:rFonts w:hint="default" w:ascii="Times New Roman" w:hAnsi="Times New Roman" w:cs="Times New Roman"/>
          <w:sz w:val="24"/>
          <w:szCs w:val="24"/>
        </w:rPr>
        <w:tab/>
      </w:r>
      <w:r>
        <w:rPr>
          <w:rFonts w:hint="default" w:ascii="Times New Roman" w:hAnsi="Times New Roman" w:cs="Times New Roman"/>
          <w:sz w:val="24"/>
          <w:szCs w:val="24"/>
        </w:rPr>
        <w:t xml:space="preserve">        S795</w:t>
      </w:r>
      <w:r>
        <w:rPr>
          <w:rFonts w:hint="default" w:ascii="Times New Roman" w:hAnsi="Times New Roman" w:cs="Times New Roman"/>
          <w:sz w:val="24"/>
          <w:szCs w:val="24"/>
        </w:rPr>
        <w:tab/>
      </w:r>
      <w:r>
        <w:rPr>
          <w:rFonts w:hint="default" w:ascii="Times New Roman" w:hAnsi="Times New Roman" w:cs="Times New Roman"/>
          <w:sz w:val="24"/>
          <w:szCs w:val="24"/>
        </w:rPr>
        <w:t xml:space="preserve"> S1495</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Q‑64</w:t>
      </w:r>
      <w:r>
        <w:rPr>
          <w:rFonts w:hint="default" w:ascii="Times New Roman" w:hAnsi="Times New Roman" w:cs="Times New Roman"/>
          <w:sz w:val="24"/>
          <w:szCs w:val="24"/>
        </w:rPr>
        <w:tab/>
      </w:r>
      <w:r>
        <w:rPr>
          <w:rFonts w:hint="default" w:ascii="Times New Roman" w:hAnsi="Times New Roman" w:cs="Times New Roman"/>
          <w:sz w:val="24"/>
          <w:szCs w:val="24"/>
        </w:rPr>
        <w:t xml:space="preserve">                 64</w:t>
      </w:r>
      <w:r>
        <w:rPr>
          <w:rFonts w:hint="default" w:ascii="Times New Roman" w:hAnsi="Times New Roman" w:cs="Times New Roman"/>
          <w:sz w:val="24"/>
          <w:szCs w:val="24"/>
        </w:rPr>
        <w:tab/>
      </w:r>
      <w:r>
        <w:rPr>
          <w:rFonts w:hint="default" w:ascii="Times New Roman" w:hAnsi="Times New Roman" w:cs="Times New Roman"/>
          <w:sz w:val="24"/>
          <w:szCs w:val="24"/>
        </w:rPr>
        <w:t xml:space="preserve">                62.58</w:t>
      </w:r>
      <w:r>
        <w:rPr>
          <w:rFonts w:hint="default" w:ascii="Times New Roman" w:hAnsi="Times New Roman" w:cs="Times New Roman"/>
          <w:sz w:val="24"/>
          <w:szCs w:val="24"/>
        </w:rPr>
        <w:tab/>
      </w:r>
      <w:r>
        <w:rPr>
          <w:rFonts w:hint="default" w:ascii="Times New Roman" w:hAnsi="Times New Roman" w:cs="Times New Roman"/>
          <w:sz w:val="24"/>
          <w:szCs w:val="24"/>
        </w:rPr>
        <w:t xml:space="preserve">  62.69</w:t>
      </w:r>
      <w:r>
        <w:rPr>
          <w:rFonts w:hint="default" w:ascii="Times New Roman" w:hAnsi="Times New Roman" w:cs="Times New Roman"/>
          <w:sz w:val="24"/>
          <w:szCs w:val="24"/>
        </w:rPr>
        <w:tab/>
      </w:r>
      <w:r>
        <w:rPr>
          <w:rFonts w:hint="default" w:ascii="Times New Roman" w:hAnsi="Times New Roman" w:cs="Times New Roman"/>
          <w:sz w:val="24"/>
          <w:szCs w:val="24"/>
        </w:rPr>
        <w:t xml:space="preserve">        62.88</w:t>
      </w:r>
      <w:r>
        <w:rPr>
          <w:rFonts w:hint="default" w:ascii="Times New Roman" w:hAnsi="Times New Roman" w:cs="Times New Roman"/>
          <w:sz w:val="24"/>
          <w:szCs w:val="24"/>
        </w:rPr>
        <w:tab/>
      </w:r>
      <w:r>
        <w:rPr>
          <w:rFonts w:hint="default" w:ascii="Times New Roman" w:hAnsi="Times New Roman" w:cs="Times New Roman"/>
          <w:sz w:val="24"/>
          <w:szCs w:val="24"/>
        </w:rPr>
        <w:t xml:space="preserve"> 62.44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Q‑70</w:t>
      </w:r>
      <w:r>
        <w:rPr>
          <w:rFonts w:hint="default" w:ascii="Times New Roman" w:hAnsi="Times New Roman" w:cs="Times New Roman"/>
          <w:sz w:val="24"/>
          <w:szCs w:val="24"/>
        </w:rPr>
        <w:tab/>
      </w:r>
      <w:r>
        <w:rPr>
          <w:rFonts w:hint="default" w:ascii="Times New Roman" w:hAnsi="Times New Roman" w:cs="Times New Roman"/>
          <w:sz w:val="24"/>
          <w:szCs w:val="24"/>
        </w:rPr>
        <w:t xml:space="preserve">                 70</w:t>
      </w:r>
      <w:r>
        <w:rPr>
          <w:rFonts w:hint="default" w:ascii="Times New Roman" w:hAnsi="Times New Roman" w:cs="Times New Roman"/>
          <w:sz w:val="24"/>
          <w:szCs w:val="24"/>
        </w:rPr>
        <w:tab/>
      </w:r>
      <w:r>
        <w:rPr>
          <w:rFonts w:hint="default" w:ascii="Times New Roman" w:hAnsi="Times New Roman" w:cs="Times New Roman"/>
          <w:sz w:val="24"/>
          <w:szCs w:val="24"/>
        </w:rPr>
        <w:t xml:space="preserve">                68.66</w:t>
      </w:r>
      <w:r>
        <w:rPr>
          <w:rFonts w:hint="default" w:ascii="Times New Roman" w:hAnsi="Times New Roman" w:cs="Times New Roman"/>
          <w:sz w:val="24"/>
          <w:szCs w:val="24"/>
        </w:rPr>
        <w:tab/>
      </w:r>
      <w:r>
        <w:rPr>
          <w:rFonts w:hint="default" w:ascii="Times New Roman" w:hAnsi="Times New Roman" w:cs="Times New Roman"/>
          <w:sz w:val="24"/>
          <w:szCs w:val="24"/>
        </w:rPr>
        <w:t xml:space="preserve">  68.65</w:t>
      </w:r>
      <w:r>
        <w:rPr>
          <w:rFonts w:hint="default" w:ascii="Times New Roman" w:hAnsi="Times New Roman" w:cs="Times New Roman"/>
          <w:sz w:val="24"/>
          <w:szCs w:val="24"/>
        </w:rPr>
        <w:tab/>
      </w:r>
      <w:r>
        <w:rPr>
          <w:rFonts w:hint="default" w:ascii="Times New Roman" w:hAnsi="Times New Roman" w:cs="Times New Roman"/>
          <w:sz w:val="24"/>
          <w:szCs w:val="24"/>
        </w:rPr>
        <w:t xml:space="preserve">        70.87</w:t>
      </w:r>
      <w:r>
        <w:rPr>
          <w:rFonts w:hint="default" w:ascii="Times New Roman" w:hAnsi="Times New Roman" w:cs="Times New Roman"/>
          <w:sz w:val="24"/>
          <w:szCs w:val="24"/>
        </w:rPr>
        <w:tab/>
      </w:r>
      <w:r>
        <w:rPr>
          <w:rFonts w:hint="default" w:ascii="Times New Roman" w:hAnsi="Times New Roman" w:cs="Times New Roman"/>
          <w:sz w:val="24"/>
          <w:szCs w:val="24"/>
        </w:rPr>
        <w:t xml:space="preserve"> 71.38</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Q‑76</w:t>
      </w:r>
      <w:r>
        <w:rPr>
          <w:rFonts w:hint="default" w:ascii="Times New Roman" w:hAnsi="Times New Roman" w:cs="Times New Roman"/>
          <w:sz w:val="24"/>
          <w:szCs w:val="24"/>
        </w:rPr>
        <w:tab/>
      </w:r>
      <w:r>
        <w:rPr>
          <w:rFonts w:hint="default" w:ascii="Times New Roman" w:hAnsi="Times New Roman" w:cs="Times New Roman"/>
          <w:sz w:val="24"/>
          <w:szCs w:val="24"/>
        </w:rPr>
        <w:t xml:space="preserve">                 76</w:t>
      </w:r>
      <w:r>
        <w:rPr>
          <w:rFonts w:hint="default" w:ascii="Times New Roman" w:hAnsi="Times New Roman" w:cs="Times New Roman"/>
          <w:sz w:val="24"/>
          <w:szCs w:val="24"/>
        </w:rPr>
        <w:tab/>
      </w:r>
      <w:r>
        <w:rPr>
          <w:rFonts w:hint="default" w:ascii="Times New Roman" w:hAnsi="Times New Roman" w:cs="Times New Roman"/>
          <w:sz w:val="24"/>
          <w:szCs w:val="24"/>
        </w:rPr>
        <w:t xml:space="preserve">                71.97</w:t>
      </w:r>
      <w:r>
        <w:rPr>
          <w:rFonts w:hint="default" w:ascii="Times New Roman" w:hAnsi="Times New Roman" w:cs="Times New Roman"/>
          <w:sz w:val="24"/>
          <w:szCs w:val="24"/>
        </w:rPr>
        <w:tab/>
      </w:r>
      <w:r>
        <w:rPr>
          <w:rFonts w:hint="default" w:ascii="Times New Roman" w:hAnsi="Times New Roman" w:cs="Times New Roman"/>
          <w:sz w:val="24"/>
          <w:szCs w:val="24"/>
        </w:rPr>
        <w:t xml:space="preserve">  74.34</w:t>
      </w:r>
      <w:r>
        <w:rPr>
          <w:rFonts w:hint="default" w:ascii="Times New Roman" w:hAnsi="Times New Roman" w:cs="Times New Roman"/>
          <w:sz w:val="24"/>
          <w:szCs w:val="24"/>
        </w:rPr>
        <w:tab/>
      </w:r>
      <w:r>
        <w:rPr>
          <w:rFonts w:hint="default" w:ascii="Times New Roman" w:hAnsi="Times New Roman" w:cs="Times New Roman"/>
          <w:sz w:val="24"/>
          <w:szCs w:val="24"/>
        </w:rPr>
        <w:t xml:space="preserve">        74.65</w:t>
      </w:r>
      <w:r>
        <w:rPr>
          <w:rFonts w:hint="default" w:ascii="Times New Roman" w:hAnsi="Times New Roman" w:cs="Times New Roman"/>
          <w:sz w:val="24"/>
          <w:szCs w:val="24"/>
        </w:rPr>
        <w:tab/>
      </w:r>
      <w:r>
        <w:rPr>
          <w:rFonts w:hint="default" w:ascii="Times New Roman" w:hAnsi="Times New Roman" w:cs="Times New Roman"/>
          <w:sz w:val="24"/>
          <w:szCs w:val="24"/>
        </w:rPr>
        <w:t xml:space="preserve"> 74.64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Q‑82</w:t>
      </w:r>
      <w:r>
        <w:rPr>
          <w:rFonts w:hint="default" w:ascii="Times New Roman" w:hAnsi="Times New Roman" w:cs="Times New Roman"/>
          <w:sz w:val="24"/>
          <w:szCs w:val="24"/>
        </w:rPr>
        <w:tab/>
      </w:r>
      <w:r>
        <w:rPr>
          <w:rFonts w:hint="default" w:ascii="Times New Roman" w:hAnsi="Times New Roman" w:cs="Times New Roman"/>
          <w:sz w:val="24"/>
          <w:szCs w:val="24"/>
        </w:rPr>
        <w:t xml:space="preserve">                 82</w:t>
      </w:r>
      <w:r>
        <w:rPr>
          <w:rFonts w:hint="default" w:ascii="Times New Roman" w:hAnsi="Times New Roman" w:cs="Times New Roman"/>
          <w:sz w:val="24"/>
          <w:szCs w:val="24"/>
        </w:rPr>
        <w:tab/>
      </w:r>
      <w:r>
        <w:rPr>
          <w:rFonts w:hint="default" w:ascii="Times New Roman" w:hAnsi="Times New Roman" w:cs="Times New Roman"/>
          <w:sz w:val="24"/>
          <w:szCs w:val="24"/>
        </w:rPr>
        <w:t xml:space="preserve">                80.19</w:t>
      </w:r>
      <w:r>
        <w:rPr>
          <w:rFonts w:hint="default" w:ascii="Times New Roman" w:hAnsi="Times New Roman" w:cs="Times New Roman"/>
          <w:sz w:val="24"/>
          <w:szCs w:val="24"/>
        </w:rPr>
        <w:tab/>
      </w:r>
      <w:r>
        <w:rPr>
          <w:rFonts w:hint="default" w:ascii="Times New Roman" w:hAnsi="Times New Roman" w:cs="Times New Roman"/>
          <w:sz w:val="24"/>
          <w:szCs w:val="24"/>
        </w:rPr>
        <w:t xml:space="preserve">  80.32</w:t>
      </w:r>
      <w:r>
        <w:rPr>
          <w:rFonts w:hint="default" w:ascii="Times New Roman" w:hAnsi="Times New Roman" w:cs="Times New Roman"/>
          <w:sz w:val="24"/>
          <w:szCs w:val="24"/>
        </w:rPr>
        <w:tab/>
      </w:r>
      <w:r>
        <w:rPr>
          <w:rFonts w:hint="default" w:ascii="Times New Roman" w:hAnsi="Times New Roman" w:cs="Times New Roman"/>
          <w:sz w:val="24"/>
          <w:szCs w:val="24"/>
        </w:rPr>
        <w:t xml:space="preserve">        80.81</w:t>
      </w:r>
      <w:r>
        <w:rPr>
          <w:rFonts w:hint="default" w:ascii="Times New Roman" w:hAnsi="Times New Roman" w:cs="Times New Roman"/>
          <w:sz w:val="24"/>
          <w:szCs w:val="24"/>
        </w:rPr>
        <w:tab/>
      </w:r>
      <w:r>
        <w:rPr>
          <w:rFonts w:hint="default" w:ascii="Times New Roman" w:hAnsi="Times New Roman" w:cs="Times New Roman"/>
          <w:sz w:val="24"/>
          <w:szCs w:val="24"/>
        </w:rPr>
        <w:t xml:space="preserve"> 81.09</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00813‑L00636</w:t>
      </w:r>
      <w:r>
        <w:rPr>
          <w:rFonts w:hint="default" w:ascii="Times New Roman" w:hAnsi="Times New Roman" w:cs="Times New Roman"/>
          <w:sz w:val="24"/>
          <w:szCs w:val="24"/>
        </w:rPr>
        <w:tab/>
      </w:r>
      <w:r>
        <w:rPr>
          <w:rFonts w:hint="default" w:ascii="Times New Roman" w:hAnsi="Times New Roman" w:cs="Times New Roman"/>
          <w:sz w:val="24"/>
          <w:szCs w:val="24"/>
        </w:rPr>
        <w:t xml:space="preserve">      166</w:t>
      </w:r>
      <w:r>
        <w:rPr>
          <w:rFonts w:hint="default" w:ascii="Times New Roman" w:hAnsi="Times New Roman" w:cs="Times New Roman"/>
          <w:sz w:val="24"/>
          <w:szCs w:val="24"/>
        </w:rPr>
        <w:tab/>
      </w:r>
      <w:r>
        <w:rPr>
          <w:rFonts w:hint="default" w:ascii="Times New Roman" w:hAnsi="Times New Roman" w:cs="Times New Roman"/>
          <w:sz w:val="24"/>
          <w:szCs w:val="24"/>
        </w:rPr>
        <w:t xml:space="preserve">     167.02</w:t>
      </w:r>
      <w:r>
        <w:rPr>
          <w:rFonts w:hint="default" w:ascii="Times New Roman" w:hAnsi="Times New Roman" w:cs="Times New Roman"/>
          <w:sz w:val="24"/>
          <w:szCs w:val="24"/>
        </w:rPr>
        <w:tab/>
      </w:r>
      <w:r>
        <w:rPr>
          <w:rFonts w:hint="default" w:ascii="Times New Roman" w:hAnsi="Times New Roman" w:cs="Times New Roman"/>
          <w:sz w:val="24"/>
          <w:szCs w:val="24"/>
        </w:rPr>
        <w:t xml:space="preserve">  167.07       166.97</w:t>
      </w:r>
      <w:r>
        <w:rPr>
          <w:rFonts w:hint="default" w:ascii="Times New Roman" w:hAnsi="Times New Roman" w:cs="Times New Roman"/>
          <w:sz w:val="24"/>
          <w:szCs w:val="24"/>
        </w:rPr>
        <w:tab/>
      </w:r>
      <w:r>
        <w:rPr>
          <w:rFonts w:hint="default" w:ascii="Times New Roman" w:hAnsi="Times New Roman" w:cs="Times New Roman"/>
          <w:sz w:val="24"/>
          <w:szCs w:val="24"/>
        </w:rPr>
        <w:t xml:space="preserve"> 167.01</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00808‑L00326</w:t>
      </w:r>
      <w:r>
        <w:rPr>
          <w:rFonts w:hint="default" w:ascii="Times New Roman" w:hAnsi="Times New Roman" w:cs="Times New Roman"/>
          <w:sz w:val="24"/>
          <w:szCs w:val="24"/>
        </w:rPr>
        <w:tab/>
      </w:r>
      <w:r>
        <w:rPr>
          <w:rFonts w:hint="default" w:ascii="Times New Roman" w:hAnsi="Times New Roman" w:cs="Times New Roman"/>
          <w:sz w:val="24"/>
          <w:szCs w:val="24"/>
        </w:rPr>
        <w:t xml:space="preserve">      172</w:t>
      </w:r>
      <w:r>
        <w:rPr>
          <w:rFonts w:hint="default" w:ascii="Times New Roman" w:hAnsi="Times New Roman" w:cs="Times New Roman"/>
          <w:sz w:val="24"/>
          <w:szCs w:val="24"/>
        </w:rPr>
        <w:tab/>
      </w:r>
      <w:r>
        <w:rPr>
          <w:rFonts w:hint="default" w:ascii="Times New Roman" w:hAnsi="Times New Roman" w:cs="Times New Roman"/>
          <w:sz w:val="24"/>
          <w:szCs w:val="24"/>
        </w:rPr>
        <w:t xml:space="preserve">     173.13</w:t>
      </w:r>
      <w:r>
        <w:rPr>
          <w:rFonts w:hint="default" w:ascii="Times New Roman" w:hAnsi="Times New Roman" w:cs="Times New Roman"/>
          <w:sz w:val="24"/>
          <w:szCs w:val="24"/>
        </w:rPr>
        <w:tab/>
      </w:r>
      <w:r>
        <w:rPr>
          <w:rFonts w:hint="default" w:ascii="Times New Roman" w:hAnsi="Times New Roman" w:cs="Times New Roman"/>
          <w:sz w:val="24"/>
          <w:szCs w:val="24"/>
        </w:rPr>
        <w:t xml:space="preserve">  173.18       173.13</w:t>
      </w:r>
      <w:r>
        <w:rPr>
          <w:rFonts w:hint="default" w:ascii="Times New Roman" w:hAnsi="Times New Roman" w:cs="Times New Roman"/>
          <w:sz w:val="24"/>
          <w:szCs w:val="24"/>
        </w:rPr>
        <w:tab/>
      </w:r>
      <w:r>
        <w:rPr>
          <w:rFonts w:hint="default" w:ascii="Times New Roman" w:hAnsi="Times New Roman" w:cs="Times New Roman"/>
          <w:sz w:val="24"/>
          <w:szCs w:val="24"/>
        </w:rPr>
        <w:t xml:space="preserve"> 173.14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00799‑L00317</w:t>
      </w:r>
      <w:r>
        <w:rPr>
          <w:rFonts w:hint="default" w:ascii="Times New Roman" w:hAnsi="Times New Roman" w:cs="Times New Roman"/>
          <w:sz w:val="24"/>
          <w:szCs w:val="24"/>
        </w:rPr>
        <w:tab/>
      </w:r>
      <w:r>
        <w:rPr>
          <w:rFonts w:hint="default" w:ascii="Times New Roman" w:hAnsi="Times New Roman" w:cs="Times New Roman"/>
          <w:sz w:val="24"/>
          <w:szCs w:val="24"/>
        </w:rPr>
        <w:t xml:space="preserve">      178</w:t>
      </w:r>
      <w:r>
        <w:rPr>
          <w:rFonts w:hint="default" w:ascii="Times New Roman" w:hAnsi="Times New Roman" w:cs="Times New Roman"/>
          <w:sz w:val="24"/>
          <w:szCs w:val="24"/>
        </w:rPr>
        <w:tab/>
      </w:r>
      <w:r>
        <w:rPr>
          <w:rFonts w:hint="default" w:ascii="Times New Roman" w:hAnsi="Times New Roman" w:cs="Times New Roman"/>
          <w:sz w:val="24"/>
          <w:szCs w:val="24"/>
        </w:rPr>
        <w:t xml:space="preserve">     179.93</w:t>
      </w:r>
      <w:r>
        <w:rPr>
          <w:rFonts w:hint="default" w:ascii="Times New Roman" w:hAnsi="Times New Roman" w:cs="Times New Roman"/>
          <w:sz w:val="24"/>
          <w:szCs w:val="24"/>
        </w:rPr>
        <w:tab/>
      </w:r>
      <w:r>
        <w:rPr>
          <w:rFonts w:hint="default" w:ascii="Times New Roman" w:hAnsi="Times New Roman" w:cs="Times New Roman"/>
          <w:sz w:val="24"/>
          <w:szCs w:val="24"/>
        </w:rPr>
        <w:t xml:space="preserve">  179.98       180.05</w:t>
      </w:r>
      <w:r>
        <w:rPr>
          <w:rFonts w:hint="default" w:ascii="Times New Roman" w:hAnsi="Times New Roman" w:cs="Times New Roman"/>
          <w:sz w:val="24"/>
          <w:szCs w:val="24"/>
        </w:rPr>
        <w:tab/>
      </w:r>
      <w:r>
        <w:rPr>
          <w:rFonts w:hint="default" w:ascii="Times New Roman" w:hAnsi="Times New Roman" w:cs="Times New Roman"/>
          <w:sz w:val="24"/>
          <w:szCs w:val="24"/>
        </w:rPr>
        <w:t xml:space="preserve"> 179.94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02155‑L01607</w:t>
      </w:r>
      <w:r>
        <w:rPr>
          <w:rFonts w:hint="default" w:ascii="Times New Roman" w:hAnsi="Times New Roman" w:cs="Times New Roman"/>
          <w:sz w:val="24"/>
          <w:szCs w:val="24"/>
        </w:rPr>
        <w:tab/>
      </w:r>
      <w:r>
        <w:rPr>
          <w:rFonts w:hint="default" w:ascii="Times New Roman" w:hAnsi="Times New Roman" w:cs="Times New Roman"/>
          <w:sz w:val="24"/>
          <w:szCs w:val="24"/>
        </w:rPr>
        <w:t xml:space="preserve">      184</w:t>
      </w:r>
      <w:r>
        <w:rPr>
          <w:rFonts w:hint="default" w:ascii="Times New Roman" w:hAnsi="Times New Roman" w:cs="Times New Roman"/>
          <w:sz w:val="24"/>
          <w:szCs w:val="24"/>
        </w:rPr>
        <w:tab/>
      </w:r>
      <w:r>
        <w:rPr>
          <w:rFonts w:hint="default" w:ascii="Times New Roman" w:hAnsi="Times New Roman" w:cs="Times New Roman"/>
          <w:sz w:val="24"/>
          <w:szCs w:val="24"/>
        </w:rPr>
        <w:t xml:space="preserve">     186.46</w:t>
      </w:r>
      <w:r>
        <w:rPr>
          <w:rFonts w:hint="default" w:ascii="Times New Roman" w:hAnsi="Times New Roman" w:cs="Times New Roman"/>
          <w:sz w:val="24"/>
          <w:szCs w:val="24"/>
        </w:rPr>
        <w:tab/>
      </w:r>
      <w:r>
        <w:rPr>
          <w:rFonts w:hint="default" w:ascii="Times New Roman" w:hAnsi="Times New Roman" w:cs="Times New Roman"/>
          <w:sz w:val="24"/>
          <w:szCs w:val="24"/>
        </w:rPr>
        <w:t xml:space="preserve">  186.51       186.54</w:t>
      </w:r>
      <w:r>
        <w:rPr>
          <w:rFonts w:hint="default" w:ascii="Times New Roman" w:hAnsi="Times New Roman" w:cs="Times New Roman"/>
          <w:sz w:val="24"/>
          <w:szCs w:val="24"/>
        </w:rPr>
        <w:tab/>
      </w:r>
      <w:r>
        <w:rPr>
          <w:rFonts w:hint="default" w:ascii="Times New Roman" w:hAnsi="Times New Roman" w:cs="Times New Roman"/>
          <w:sz w:val="24"/>
          <w:szCs w:val="24"/>
        </w:rPr>
        <w:t xml:space="preserve"> 186.48</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02115‑L01605</w:t>
      </w:r>
      <w:r>
        <w:rPr>
          <w:rFonts w:hint="default" w:ascii="Times New Roman" w:hAnsi="Times New Roman" w:cs="Times New Roman"/>
          <w:sz w:val="24"/>
          <w:szCs w:val="24"/>
        </w:rPr>
        <w:tab/>
      </w:r>
      <w:r>
        <w:rPr>
          <w:rFonts w:hint="default" w:ascii="Times New Roman" w:hAnsi="Times New Roman" w:cs="Times New Roman"/>
          <w:sz w:val="24"/>
          <w:szCs w:val="24"/>
        </w:rPr>
        <w:t xml:space="preserve">      202</w:t>
      </w:r>
      <w:r>
        <w:rPr>
          <w:rFonts w:hint="default" w:ascii="Times New Roman" w:hAnsi="Times New Roman" w:cs="Times New Roman"/>
          <w:sz w:val="24"/>
          <w:szCs w:val="24"/>
        </w:rPr>
        <w:tab/>
      </w:r>
      <w:r>
        <w:rPr>
          <w:rFonts w:hint="default" w:ascii="Times New Roman" w:hAnsi="Times New Roman" w:cs="Times New Roman"/>
          <w:sz w:val="24"/>
          <w:szCs w:val="24"/>
        </w:rPr>
        <w:t xml:space="preserve">     203.75</w:t>
      </w:r>
      <w:r>
        <w:rPr>
          <w:rFonts w:hint="default" w:ascii="Times New Roman" w:hAnsi="Times New Roman" w:cs="Times New Roman"/>
          <w:sz w:val="24"/>
          <w:szCs w:val="24"/>
        </w:rPr>
        <w:tab/>
      </w:r>
      <w:r>
        <w:rPr>
          <w:rFonts w:hint="default" w:ascii="Times New Roman" w:hAnsi="Times New Roman" w:cs="Times New Roman"/>
          <w:sz w:val="24"/>
          <w:szCs w:val="24"/>
        </w:rPr>
        <w:t xml:space="preserve">  203.81       203.81</w:t>
      </w:r>
      <w:r>
        <w:rPr>
          <w:rFonts w:hint="default" w:ascii="Times New Roman" w:hAnsi="Times New Roman" w:cs="Times New Roman"/>
          <w:sz w:val="24"/>
          <w:szCs w:val="24"/>
        </w:rPr>
        <w:tab/>
      </w:r>
      <w:r>
        <w:rPr>
          <w:rFonts w:hint="default" w:ascii="Times New Roman" w:hAnsi="Times New Roman" w:cs="Times New Roman"/>
          <w:sz w:val="24"/>
          <w:szCs w:val="24"/>
        </w:rPr>
        <w:t xml:space="preserve"> 203.84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02845‑L02275</w:t>
      </w:r>
      <w:r>
        <w:rPr>
          <w:rFonts w:hint="default" w:ascii="Times New Roman" w:hAnsi="Times New Roman" w:cs="Times New Roman"/>
          <w:sz w:val="24"/>
          <w:szCs w:val="24"/>
        </w:rPr>
        <w:tab/>
      </w:r>
      <w:r>
        <w:rPr>
          <w:rFonts w:hint="default" w:ascii="Times New Roman" w:hAnsi="Times New Roman" w:cs="Times New Roman"/>
          <w:sz w:val="24"/>
          <w:szCs w:val="24"/>
        </w:rPr>
        <w:t xml:space="preserve">      211</w:t>
      </w:r>
      <w:r>
        <w:rPr>
          <w:rFonts w:hint="default" w:ascii="Times New Roman" w:hAnsi="Times New Roman" w:cs="Times New Roman"/>
          <w:sz w:val="24"/>
          <w:szCs w:val="24"/>
        </w:rPr>
        <w:tab/>
      </w:r>
      <w:r>
        <w:rPr>
          <w:rFonts w:hint="default" w:ascii="Times New Roman" w:hAnsi="Times New Roman" w:cs="Times New Roman"/>
          <w:sz w:val="24"/>
          <w:szCs w:val="24"/>
        </w:rPr>
        <w:t xml:space="preserve">                212.66</w:t>
      </w:r>
      <w:r>
        <w:rPr>
          <w:rFonts w:hint="default" w:ascii="Times New Roman" w:hAnsi="Times New Roman" w:cs="Times New Roman"/>
          <w:sz w:val="24"/>
          <w:szCs w:val="24"/>
        </w:rPr>
        <w:tab/>
      </w:r>
      <w:r>
        <w:rPr>
          <w:rFonts w:hint="default" w:ascii="Times New Roman" w:hAnsi="Times New Roman" w:cs="Times New Roman"/>
          <w:sz w:val="24"/>
          <w:szCs w:val="24"/>
        </w:rPr>
        <w:t xml:space="preserve">  212.68       212.68</w:t>
      </w:r>
      <w:r>
        <w:rPr>
          <w:rFonts w:hint="default" w:ascii="Times New Roman" w:hAnsi="Times New Roman" w:cs="Times New Roman"/>
          <w:sz w:val="24"/>
          <w:szCs w:val="24"/>
        </w:rPr>
        <w:tab/>
      </w:r>
      <w:r>
        <w:rPr>
          <w:rFonts w:hint="default" w:ascii="Times New Roman" w:hAnsi="Times New Roman" w:cs="Times New Roman"/>
          <w:sz w:val="24"/>
          <w:szCs w:val="24"/>
        </w:rPr>
        <w:t xml:space="preserve"> 212.69</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00582‑L00147</w:t>
      </w:r>
      <w:r>
        <w:rPr>
          <w:rFonts w:hint="default" w:ascii="Times New Roman" w:hAnsi="Times New Roman" w:cs="Times New Roman"/>
          <w:sz w:val="24"/>
          <w:szCs w:val="24"/>
        </w:rPr>
        <w:tab/>
      </w:r>
      <w:r>
        <w:rPr>
          <w:rFonts w:hint="default" w:ascii="Times New Roman" w:hAnsi="Times New Roman" w:cs="Times New Roman"/>
          <w:sz w:val="24"/>
          <w:szCs w:val="24"/>
        </w:rPr>
        <w:t xml:space="preserve">      220</w:t>
      </w:r>
      <w:r>
        <w:rPr>
          <w:rFonts w:hint="default" w:ascii="Times New Roman" w:hAnsi="Times New Roman" w:cs="Times New Roman"/>
          <w:sz w:val="24"/>
          <w:szCs w:val="24"/>
        </w:rPr>
        <w:tab/>
      </w:r>
      <w:r>
        <w:rPr>
          <w:rFonts w:hint="default" w:ascii="Times New Roman" w:hAnsi="Times New Roman" w:cs="Times New Roman"/>
          <w:sz w:val="24"/>
          <w:szCs w:val="24"/>
        </w:rPr>
        <w:t xml:space="preserve">     221.37</w:t>
      </w:r>
      <w:r>
        <w:rPr>
          <w:rFonts w:hint="default" w:ascii="Times New Roman" w:hAnsi="Times New Roman" w:cs="Times New Roman"/>
          <w:sz w:val="24"/>
          <w:szCs w:val="24"/>
        </w:rPr>
        <w:tab/>
      </w:r>
      <w:r>
        <w:rPr>
          <w:rFonts w:hint="default" w:ascii="Times New Roman" w:hAnsi="Times New Roman" w:cs="Times New Roman"/>
          <w:sz w:val="24"/>
          <w:szCs w:val="24"/>
        </w:rPr>
        <w:t xml:space="preserve">  221.43       221.43</w:t>
      </w:r>
      <w:r>
        <w:rPr>
          <w:rFonts w:hint="default" w:ascii="Times New Roman" w:hAnsi="Times New Roman" w:cs="Times New Roman"/>
          <w:sz w:val="24"/>
          <w:szCs w:val="24"/>
        </w:rPr>
        <w:tab/>
      </w:r>
      <w:r>
        <w:rPr>
          <w:rFonts w:hint="default" w:ascii="Times New Roman" w:hAnsi="Times New Roman" w:cs="Times New Roman"/>
          <w:sz w:val="24"/>
          <w:szCs w:val="24"/>
        </w:rPr>
        <w:t xml:space="preserve"> 221.42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02116‑L01604</w:t>
      </w:r>
      <w:r>
        <w:rPr>
          <w:rFonts w:hint="default" w:ascii="Times New Roman" w:hAnsi="Times New Roman" w:cs="Times New Roman"/>
          <w:sz w:val="24"/>
          <w:szCs w:val="24"/>
        </w:rPr>
        <w:tab/>
      </w:r>
      <w:r>
        <w:rPr>
          <w:rFonts w:hint="default" w:ascii="Times New Roman" w:hAnsi="Times New Roman" w:cs="Times New Roman"/>
          <w:sz w:val="24"/>
          <w:szCs w:val="24"/>
        </w:rPr>
        <w:t xml:space="preserve">      291</w:t>
      </w:r>
      <w:r>
        <w:rPr>
          <w:rFonts w:hint="default" w:ascii="Times New Roman" w:hAnsi="Times New Roman" w:cs="Times New Roman"/>
          <w:sz w:val="24"/>
          <w:szCs w:val="24"/>
        </w:rPr>
        <w:tab/>
      </w:r>
      <w:r>
        <w:rPr>
          <w:rFonts w:hint="default" w:ascii="Times New Roman" w:hAnsi="Times New Roman" w:cs="Times New Roman"/>
          <w:sz w:val="24"/>
          <w:szCs w:val="24"/>
        </w:rPr>
        <w:t xml:space="preserve">     289.91</w:t>
      </w:r>
      <w:r>
        <w:rPr>
          <w:rFonts w:hint="default" w:ascii="Times New Roman" w:hAnsi="Times New Roman" w:cs="Times New Roman"/>
          <w:sz w:val="24"/>
          <w:szCs w:val="24"/>
        </w:rPr>
        <w:tab/>
      </w:r>
      <w:r>
        <w:rPr>
          <w:rFonts w:hint="default" w:ascii="Times New Roman" w:hAnsi="Times New Roman" w:cs="Times New Roman"/>
          <w:sz w:val="24"/>
          <w:szCs w:val="24"/>
        </w:rPr>
        <w:t xml:space="preserve">  289.84       289.76</w:t>
      </w:r>
      <w:r>
        <w:rPr>
          <w:rFonts w:hint="default" w:ascii="Times New Roman" w:hAnsi="Times New Roman" w:cs="Times New Roman"/>
          <w:sz w:val="24"/>
          <w:szCs w:val="24"/>
        </w:rPr>
        <w:tab/>
      </w:r>
      <w:r>
        <w:rPr>
          <w:rFonts w:hint="default" w:ascii="Times New Roman" w:hAnsi="Times New Roman" w:cs="Times New Roman"/>
          <w:sz w:val="24"/>
          <w:szCs w:val="24"/>
        </w:rPr>
        <w:t xml:space="preserve"> 289.82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00811‑L00329</w:t>
      </w:r>
      <w:r>
        <w:rPr>
          <w:rFonts w:hint="default" w:ascii="Times New Roman" w:hAnsi="Times New Roman" w:cs="Times New Roman"/>
          <w:sz w:val="24"/>
          <w:szCs w:val="24"/>
        </w:rPr>
        <w:tab/>
      </w:r>
      <w:r>
        <w:rPr>
          <w:rFonts w:hint="default" w:ascii="Times New Roman" w:hAnsi="Times New Roman" w:cs="Times New Roman"/>
          <w:sz w:val="24"/>
          <w:szCs w:val="24"/>
        </w:rPr>
        <w:t xml:space="preserve">      301</w:t>
      </w:r>
      <w:r>
        <w:rPr>
          <w:rFonts w:hint="default" w:ascii="Times New Roman" w:hAnsi="Times New Roman" w:cs="Times New Roman"/>
          <w:sz w:val="24"/>
          <w:szCs w:val="24"/>
        </w:rPr>
        <w:tab/>
      </w:r>
      <w:r>
        <w:rPr>
          <w:rFonts w:hint="default" w:ascii="Times New Roman" w:hAnsi="Times New Roman" w:cs="Times New Roman"/>
          <w:sz w:val="24"/>
          <w:szCs w:val="24"/>
        </w:rPr>
        <w:t xml:space="preserve">     299.56</w:t>
      </w:r>
      <w:r>
        <w:rPr>
          <w:rFonts w:hint="default" w:ascii="Times New Roman" w:hAnsi="Times New Roman" w:cs="Times New Roman"/>
          <w:sz w:val="24"/>
          <w:szCs w:val="24"/>
        </w:rPr>
        <w:tab/>
      </w:r>
      <w:r>
        <w:rPr>
          <w:rFonts w:hint="default" w:ascii="Times New Roman" w:hAnsi="Times New Roman" w:cs="Times New Roman"/>
          <w:sz w:val="24"/>
          <w:szCs w:val="24"/>
        </w:rPr>
        <w:t xml:space="preserve">  299.54       299.48</w:t>
      </w:r>
      <w:r>
        <w:rPr>
          <w:rFonts w:hint="default" w:ascii="Times New Roman" w:hAnsi="Times New Roman" w:cs="Times New Roman"/>
          <w:sz w:val="24"/>
          <w:szCs w:val="24"/>
        </w:rPr>
        <w:tab/>
      </w:r>
      <w:r>
        <w:rPr>
          <w:rFonts w:hint="default" w:ascii="Times New Roman" w:hAnsi="Times New Roman" w:cs="Times New Roman"/>
          <w:sz w:val="24"/>
          <w:szCs w:val="24"/>
        </w:rPr>
        <w:t xml:space="preserve"> 299.55</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00452‑L00360</w:t>
      </w:r>
      <w:r>
        <w:rPr>
          <w:rFonts w:hint="default" w:ascii="Times New Roman" w:hAnsi="Times New Roman" w:cs="Times New Roman"/>
          <w:sz w:val="24"/>
          <w:szCs w:val="24"/>
        </w:rPr>
        <w:tab/>
      </w:r>
      <w:r>
        <w:rPr>
          <w:rFonts w:hint="default" w:ascii="Times New Roman" w:hAnsi="Times New Roman" w:cs="Times New Roman"/>
          <w:sz w:val="24"/>
          <w:szCs w:val="24"/>
        </w:rPr>
        <w:t xml:space="preserve">      355</w:t>
      </w:r>
      <w:r>
        <w:rPr>
          <w:rFonts w:hint="default" w:ascii="Times New Roman" w:hAnsi="Times New Roman" w:cs="Times New Roman"/>
          <w:sz w:val="24"/>
          <w:szCs w:val="24"/>
        </w:rPr>
        <w:tab/>
      </w:r>
      <w:r>
        <w:rPr>
          <w:rFonts w:hint="default" w:ascii="Times New Roman" w:hAnsi="Times New Roman" w:cs="Times New Roman"/>
          <w:sz w:val="24"/>
          <w:szCs w:val="24"/>
        </w:rPr>
        <w:t xml:space="preserve">     358.29</w:t>
      </w:r>
      <w:r>
        <w:rPr>
          <w:rFonts w:hint="default" w:ascii="Times New Roman" w:hAnsi="Times New Roman" w:cs="Times New Roman"/>
          <w:sz w:val="24"/>
          <w:szCs w:val="24"/>
        </w:rPr>
        <w:tab/>
      </w:r>
      <w:r>
        <w:rPr>
          <w:rFonts w:hint="default" w:ascii="Times New Roman" w:hAnsi="Times New Roman" w:cs="Times New Roman"/>
          <w:sz w:val="24"/>
          <w:szCs w:val="24"/>
        </w:rPr>
        <w:t xml:space="preserve">  358.43       358.54</w:t>
      </w:r>
      <w:r>
        <w:rPr>
          <w:rFonts w:hint="default" w:ascii="Times New Roman" w:hAnsi="Times New Roman" w:cs="Times New Roman"/>
          <w:sz w:val="24"/>
          <w:szCs w:val="24"/>
        </w:rPr>
        <w:tab/>
      </w:r>
      <w:r>
        <w:rPr>
          <w:rFonts w:hint="default" w:ascii="Times New Roman" w:hAnsi="Times New Roman" w:cs="Times New Roman"/>
          <w:sz w:val="24"/>
          <w:szCs w:val="24"/>
        </w:rPr>
        <w:t xml:space="preserve"> 358.51</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02834‑L02265</w:t>
      </w:r>
      <w:r>
        <w:rPr>
          <w:rFonts w:hint="default" w:ascii="Times New Roman" w:hAnsi="Times New Roman" w:cs="Times New Roman"/>
          <w:sz w:val="24"/>
          <w:szCs w:val="24"/>
        </w:rPr>
        <w:tab/>
      </w:r>
      <w:r>
        <w:rPr>
          <w:rFonts w:hint="default" w:ascii="Times New Roman" w:hAnsi="Times New Roman" w:cs="Times New Roman"/>
          <w:sz w:val="24"/>
          <w:szCs w:val="24"/>
        </w:rPr>
        <w:t xml:space="preserve">      382</w:t>
      </w:r>
      <w:r>
        <w:rPr>
          <w:rFonts w:hint="default" w:ascii="Times New Roman" w:hAnsi="Times New Roman" w:cs="Times New Roman"/>
          <w:sz w:val="24"/>
          <w:szCs w:val="24"/>
        </w:rPr>
        <w:tab/>
      </w:r>
      <w:r>
        <w:rPr>
          <w:rFonts w:hint="default" w:ascii="Times New Roman" w:hAnsi="Times New Roman" w:cs="Times New Roman"/>
          <w:sz w:val="24"/>
          <w:szCs w:val="24"/>
        </w:rPr>
        <w:t xml:space="preserve">     385.30</w:t>
      </w:r>
      <w:r>
        <w:rPr>
          <w:rFonts w:hint="default" w:ascii="Times New Roman" w:hAnsi="Times New Roman" w:cs="Times New Roman"/>
          <w:sz w:val="24"/>
          <w:szCs w:val="24"/>
        </w:rPr>
        <w:tab/>
      </w:r>
      <w:r>
        <w:rPr>
          <w:rFonts w:hint="default" w:ascii="Times New Roman" w:hAnsi="Times New Roman" w:cs="Times New Roman"/>
          <w:sz w:val="24"/>
          <w:szCs w:val="24"/>
        </w:rPr>
        <w:t xml:space="preserve">  385.34       385.45</w:t>
      </w:r>
      <w:r>
        <w:rPr>
          <w:rFonts w:hint="default" w:ascii="Times New Roman" w:hAnsi="Times New Roman" w:cs="Times New Roman"/>
          <w:sz w:val="24"/>
          <w:szCs w:val="24"/>
        </w:rPr>
        <w:tab/>
      </w:r>
      <w:r>
        <w:rPr>
          <w:rFonts w:hint="default" w:ascii="Times New Roman" w:hAnsi="Times New Roman" w:cs="Times New Roman"/>
          <w:sz w:val="24"/>
          <w:szCs w:val="24"/>
        </w:rPr>
        <w:t xml:space="preserve"> 385.41</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02846‑L02276</w:t>
      </w:r>
      <w:r>
        <w:rPr>
          <w:rFonts w:hint="default" w:ascii="Times New Roman" w:hAnsi="Times New Roman" w:cs="Times New Roman"/>
          <w:sz w:val="24"/>
          <w:szCs w:val="24"/>
        </w:rPr>
        <w:tab/>
      </w:r>
      <w:r>
        <w:rPr>
          <w:rFonts w:hint="default" w:ascii="Times New Roman" w:hAnsi="Times New Roman" w:cs="Times New Roman"/>
          <w:sz w:val="24"/>
          <w:szCs w:val="24"/>
        </w:rPr>
        <w:t xml:space="preserve">      391</w:t>
      </w:r>
      <w:r>
        <w:rPr>
          <w:rFonts w:hint="default" w:ascii="Times New Roman" w:hAnsi="Times New Roman" w:cs="Times New Roman"/>
          <w:sz w:val="24"/>
          <w:szCs w:val="24"/>
        </w:rPr>
        <w:tab/>
      </w:r>
      <w:r>
        <w:rPr>
          <w:rFonts w:hint="default" w:ascii="Times New Roman" w:hAnsi="Times New Roman" w:cs="Times New Roman"/>
          <w:sz w:val="24"/>
          <w:szCs w:val="24"/>
        </w:rPr>
        <w:t xml:space="preserve">     394.09</w:t>
      </w:r>
      <w:r>
        <w:rPr>
          <w:rFonts w:hint="default" w:ascii="Times New Roman" w:hAnsi="Times New Roman" w:cs="Times New Roman"/>
          <w:sz w:val="24"/>
          <w:szCs w:val="24"/>
        </w:rPr>
        <w:tab/>
      </w:r>
      <w:r>
        <w:rPr>
          <w:rFonts w:hint="default" w:ascii="Times New Roman" w:hAnsi="Times New Roman" w:cs="Times New Roman"/>
          <w:sz w:val="24"/>
          <w:szCs w:val="24"/>
        </w:rPr>
        <w:t xml:space="preserve">  394.08       394.11</w:t>
      </w:r>
      <w:r>
        <w:rPr>
          <w:rFonts w:hint="default" w:ascii="Times New Roman" w:hAnsi="Times New Roman" w:cs="Times New Roman"/>
          <w:sz w:val="24"/>
          <w:szCs w:val="24"/>
        </w:rPr>
        <w:tab/>
      </w:r>
      <w:r>
        <w:rPr>
          <w:rFonts w:hint="default" w:ascii="Times New Roman" w:hAnsi="Times New Roman" w:cs="Times New Roman"/>
          <w:sz w:val="24"/>
          <w:szCs w:val="24"/>
        </w:rPr>
        <w:t xml:space="preserve"> 394.14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00801‑L00639</w:t>
      </w:r>
      <w:r>
        <w:rPr>
          <w:rFonts w:hint="default" w:ascii="Times New Roman" w:hAnsi="Times New Roman" w:cs="Times New Roman"/>
          <w:sz w:val="24"/>
          <w:szCs w:val="24"/>
        </w:rPr>
        <w:tab/>
      </w:r>
      <w:r>
        <w:rPr>
          <w:rFonts w:hint="default" w:ascii="Times New Roman" w:hAnsi="Times New Roman" w:cs="Times New Roman"/>
          <w:sz w:val="24"/>
          <w:szCs w:val="24"/>
        </w:rPr>
        <w:t xml:space="preserve">      400</w:t>
      </w:r>
      <w:r>
        <w:rPr>
          <w:rFonts w:hint="default" w:ascii="Times New Roman" w:hAnsi="Times New Roman" w:cs="Times New Roman"/>
          <w:sz w:val="24"/>
          <w:szCs w:val="24"/>
        </w:rPr>
        <w:tab/>
      </w:r>
      <w:r>
        <w:rPr>
          <w:rFonts w:hint="default" w:ascii="Times New Roman" w:hAnsi="Times New Roman" w:cs="Times New Roman"/>
          <w:sz w:val="24"/>
          <w:szCs w:val="24"/>
        </w:rPr>
        <w:t xml:space="preserve">     402.37</w:t>
      </w:r>
      <w:r>
        <w:rPr>
          <w:rFonts w:hint="default" w:ascii="Times New Roman" w:hAnsi="Times New Roman" w:cs="Times New Roman"/>
          <w:sz w:val="24"/>
          <w:szCs w:val="24"/>
        </w:rPr>
        <w:tab/>
      </w:r>
      <w:r>
        <w:rPr>
          <w:rFonts w:hint="default" w:ascii="Times New Roman" w:hAnsi="Times New Roman" w:cs="Times New Roman"/>
          <w:sz w:val="24"/>
          <w:szCs w:val="24"/>
        </w:rPr>
        <w:t xml:space="preserve">  402.32       402.37</w:t>
      </w:r>
      <w:r>
        <w:rPr>
          <w:rFonts w:hint="default" w:ascii="Times New Roman" w:hAnsi="Times New Roman" w:cs="Times New Roman"/>
          <w:sz w:val="24"/>
          <w:szCs w:val="24"/>
        </w:rPr>
        <w:tab/>
      </w:r>
      <w:r>
        <w:rPr>
          <w:rFonts w:hint="default" w:ascii="Times New Roman" w:hAnsi="Times New Roman" w:cs="Times New Roman"/>
          <w:sz w:val="24"/>
          <w:szCs w:val="24"/>
        </w:rPr>
        <w:t xml:space="preserve"> 402.39</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00802‑L00320</w:t>
      </w:r>
      <w:r>
        <w:rPr>
          <w:rFonts w:hint="default" w:ascii="Times New Roman" w:hAnsi="Times New Roman" w:cs="Times New Roman"/>
          <w:sz w:val="24"/>
          <w:szCs w:val="24"/>
        </w:rPr>
        <w:tab/>
      </w:r>
      <w:r>
        <w:rPr>
          <w:rFonts w:hint="default" w:ascii="Times New Roman" w:hAnsi="Times New Roman" w:cs="Times New Roman"/>
          <w:sz w:val="24"/>
          <w:szCs w:val="24"/>
        </w:rPr>
        <w:t xml:space="preserve">      443</w:t>
      </w:r>
      <w:r>
        <w:rPr>
          <w:rFonts w:hint="default" w:ascii="Times New Roman" w:hAnsi="Times New Roman" w:cs="Times New Roman"/>
          <w:sz w:val="24"/>
          <w:szCs w:val="24"/>
        </w:rPr>
        <w:tab/>
      </w:r>
      <w:r>
        <w:rPr>
          <w:rFonts w:hint="default" w:ascii="Times New Roman" w:hAnsi="Times New Roman" w:cs="Times New Roman"/>
          <w:sz w:val="24"/>
          <w:szCs w:val="24"/>
        </w:rPr>
        <w:t xml:space="preserve">     445.39</w:t>
      </w:r>
      <w:r>
        <w:rPr>
          <w:rFonts w:hint="default" w:ascii="Times New Roman" w:hAnsi="Times New Roman" w:cs="Times New Roman"/>
          <w:sz w:val="24"/>
          <w:szCs w:val="24"/>
        </w:rPr>
        <w:tab/>
      </w:r>
      <w:r>
        <w:rPr>
          <w:rFonts w:hint="default" w:ascii="Times New Roman" w:hAnsi="Times New Roman" w:cs="Times New Roman"/>
          <w:sz w:val="24"/>
          <w:szCs w:val="24"/>
        </w:rPr>
        <w:t xml:space="preserve">  445.47       445.46</w:t>
      </w:r>
      <w:r>
        <w:rPr>
          <w:rFonts w:hint="default" w:ascii="Times New Roman" w:hAnsi="Times New Roman" w:cs="Times New Roman"/>
          <w:sz w:val="24"/>
          <w:szCs w:val="24"/>
        </w:rPr>
        <w:tab/>
      </w:r>
      <w:r>
        <w:rPr>
          <w:rFonts w:hint="default" w:ascii="Times New Roman" w:hAnsi="Times New Roman" w:cs="Times New Roman"/>
          <w:sz w:val="24"/>
          <w:szCs w:val="24"/>
        </w:rPr>
        <w:t xml:space="preserve"> 445.46</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01388‑L28680</w:t>
      </w:r>
      <w:r>
        <w:rPr>
          <w:rFonts w:hint="default" w:ascii="Times New Roman" w:hAnsi="Times New Roman" w:cs="Times New Roman"/>
          <w:sz w:val="24"/>
          <w:szCs w:val="24"/>
        </w:rPr>
        <w:tab/>
      </w:r>
      <w:r>
        <w:rPr>
          <w:rFonts w:hint="default" w:ascii="Times New Roman" w:hAnsi="Times New Roman" w:cs="Times New Roman"/>
          <w:sz w:val="24"/>
          <w:szCs w:val="24"/>
        </w:rPr>
        <w:t xml:space="preserve">      454</w:t>
      </w:r>
      <w:r>
        <w:rPr>
          <w:rFonts w:hint="default" w:ascii="Times New Roman" w:hAnsi="Times New Roman" w:cs="Times New Roman"/>
          <w:sz w:val="24"/>
          <w:szCs w:val="24"/>
        </w:rPr>
        <w:tab/>
      </w:r>
      <w:r>
        <w:rPr>
          <w:rFonts w:hint="default" w:ascii="Times New Roman" w:hAnsi="Times New Roman" w:cs="Times New Roman"/>
          <w:sz w:val="24"/>
          <w:szCs w:val="24"/>
        </w:rPr>
        <w:t xml:space="preserve">     454.37</w:t>
      </w:r>
      <w:r>
        <w:rPr>
          <w:rFonts w:hint="default" w:ascii="Times New Roman" w:hAnsi="Times New Roman" w:cs="Times New Roman"/>
          <w:sz w:val="24"/>
          <w:szCs w:val="24"/>
        </w:rPr>
        <w:tab/>
      </w:r>
      <w:r>
        <w:rPr>
          <w:rFonts w:hint="default" w:ascii="Times New Roman" w:hAnsi="Times New Roman" w:cs="Times New Roman"/>
          <w:sz w:val="24"/>
          <w:szCs w:val="24"/>
        </w:rPr>
        <w:t xml:space="preserve">  454.45       454.45</w:t>
      </w:r>
      <w:r>
        <w:rPr>
          <w:rFonts w:hint="default" w:ascii="Times New Roman" w:hAnsi="Times New Roman" w:cs="Times New Roman"/>
          <w:sz w:val="24"/>
          <w:szCs w:val="24"/>
        </w:rPr>
        <w:tab/>
      </w:r>
      <w:r>
        <w:rPr>
          <w:rFonts w:hint="default" w:ascii="Times New Roman" w:hAnsi="Times New Roman" w:cs="Times New Roman"/>
          <w:sz w:val="24"/>
          <w:szCs w:val="24"/>
        </w:rPr>
        <w:t xml:space="preserve"> 454.53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coefficient of variation (CV%) was calculated for each probe from these measurements; results are summarized in Table 17.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17. Inter‑sample precision for sentinel probes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Probe ID</w:t>
      </w:r>
      <w:r>
        <w:rPr>
          <w:rFonts w:hint="default" w:ascii="Times New Roman" w:hAnsi="Times New Roman" w:cs="Times New Roman"/>
          <w:sz w:val="24"/>
          <w:szCs w:val="24"/>
        </w:rPr>
        <w:tab/>
      </w:r>
      <w:r>
        <w:rPr>
          <w:rFonts w:hint="default" w:ascii="Times New Roman" w:hAnsi="Times New Roman" w:cs="Times New Roman"/>
          <w:sz w:val="24"/>
          <w:szCs w:val="24"/>
        </w:rPr>
        <w:t xml:space="preserve">      Domain</w:t>
      </w:r>
      <w:r>
        <w:rPr>
          <w:rFonts w:hint="default" w:ascii="Times New Roman" w:hAnsi="Times New Roman" w:cs="Times New Roman"/>
          <w:sz w:val="24"/>
          <w:szCs w:val="24"/>
        </w:rPr>
        <w:tab/>
      </w:r>
      <w:r>
        <w:rPr>
          <w:rFonts w:hint="default" w:ascii="Times New Roman" w:hAnsi="Times New Roman" w:cs="Times New Roman"/>
          <w:sz w:val="24"/>
          <w:szCs w:val="24"/>
        </w:rPr>
        <w:t>Nominal Size (nt)    Mean Observed (nt)    SD (nt)   CV%</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Q‑64</w:t>
      </w:r>
      <w:r>
        <w:rPr>
          <w:rFonts w:hint="default" w:ascii="Times New Roman" w:hAnsi="Times New Roman" w:cs="Times New Roman"/>
          <w:sz w:val="24"/>
          <w:szCs w:val="24"/>
        </w:rPr>
        <w:tab/>
      </w:r>
      <w:r>
        <w:rPr>
          <w:rFonts w:hint="default" w:ascii="Times New Roman" w:hAnsi="Times New Roman" w:cs="Times New Roman"/>
          <w:sz w:val="24"/>
          <w:szCs w:val="24"/>
        </w:rPr>
        <w:t xml:space="preserve">                 QC</w:t>
      </w:r>
      <w:r>
        <w:rPr>
          <w:rFonts w:hint="default" w:ascii="Times New Roman" w:hAnsi="Times New Roman" w:cs="Times New Roman"/>
          <w:sz w:val="24"/>
          <w:szCs w:val="24"/>
        </w:rPr>
        <w:tab/>
      </w:r>
      <w:r>
        <w:rPr>
          <w:rFonts w:hint="default" w:ascii="Times New Roman" w:hAnsi="Times New Roman" w:cs="Times New Roman"/>
          <w:sz w:val="24"/>
          <w:szCs w:val="24"/>
        </w:rPr>
        <w:t xml:space="preserve">                   64</w:t>
      </w:r>
      <w:r>
        <w:rPr>
          <w:rFonts w:hint="default" w:ascii="Times New Roman" w:hAnsi="Times New Roman" w:cs="Times New Roman"/>
          <w:sz w:val="24"/>
          <w:szCs w:val="24"/>
        </w:rPr>
        <w:tab/>
      </w:r>
      <w:r>
        <w:rPr>
          <w:rFonts w:hint="default" w:ascii="Times New Roman" w:hAnsi="Times New Roman" w:cs="Times New Roman"/>
          <w:sz w:val="24"/>
          <w:szCs w:val="24"/>
        </w:rPr>
        <w:t xml:space="preserve">                           62.65</w:t>
      </w:r>
      <w:r>
        <w:rPr>
          <w:rFonts w:hint="default" w:ascii="Times New Roman" w:hAnsi="Times New Roman" w:cs="Times New Roman"/>
          <w:sz w:val="24"/>
          <w:szCs w:val="24"/>
        </w:rPr>
        <w:tab/>
      </w:r>
      <w:r>
        <w:rPr>
          <w:rFonts w:hint="default" w:ascii="Times New Roman" w:hAnsi="Times New Roman" w:cs="Times New Roman"/>
          <w:sz w:val="24"/>
          <w:szCs w:val="24"/>
        </w:rPr>
        <w:t xml:space="preserve">          0.19</w:t>
      </w:r>
      <w:r>
        <w:rPr>
          <w:rFonts w:hint="default" w:ascii="Times New Roman" w:hAnsi="Times New Roman" w:cs="Times New Roman"/>
          <w:sz w:val="24"/>
          <w:szCs w:val="24"/>
        </w:rPr>
        <w:tab/>
      </w:r>
      <w:r>
        <w:rPr>
          <w:rFonts w:hint="default" w:ascii="Times New Roman" w:hAnsi="Times New Roman" w:cs="Times New Roman"/>
          <w:sz w:val="24"/>
          <w:szCs w:val="24"/>
        </w:rPr>
        <w:t xml:space="preserve"> 0.30%</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Q‑70</w:t>
      </w:r>
      <w:r>
        <w:rPr>
          <w:rFonts w:hint="default" w:ascii="Times New Roman" w:hAnsi="Times New Roman" w:cs="Times New Roman"/>
          <w:sz w:val="24"/>
          <w:szCs w:val="24"/>
        </w:rPr>
        <w:tab/>
      </w:r>
      <w:r>
        <w:rPr>
          <w:rFonts w:hint="default" w:ascii="Times New Roman" w:hAnsi="Times New Roman" w:cs="Times New Roman"/>
          <w:sz w:val="24"/>
          <w:szCs w:val="24"/>
        </w:rPr>
        <w:t xml:space="preserve">                 QC</w:t>
      </w:r>
      <w:r>
        <w:rPr>
          <w:rFonts w:hint="default" w:ascii="Times New Roman" w:hAnsi="Times New Roman" w:cs="Times New Roman"/>
          <w:sz w:val="24"/>
          <w:szCs w:val="24"/>
        </w:rPr>
        <w:tab/>
      </w:r>
      <w:r>
        <w:rPr>
          <w:rFonts w:hint="default" w:ascii="Times New Roman" w:hAnsi="Times New Roman" w:cs="Times New Roman"/>
          <w:sz w:val="24"/>
          <w:szCs w:val="24"/>
        </w:rPr>
        <w:t xml:space="preserve">                   70</w:t>
      </w:r>
      <w:r>
        <w:rPr>
          <w:rFonts w:hint="default" w:ascii="Times New Roman" w:hAnsi="Times New Roman" w:cs="Times New Roman"/>
          <w:sz w:val="24"/>
          <w:szCs w:val="24"/>
        </w:rPr>
        <w:tab/>
      </w:r>
      <w:r>
        <w:rPr>
          <w:rFonts w:hint="default" w:ascii="Times New Roman" w:hAnsi="Times New Roman" w:cs="Times New Roman"/>
          <w:sz w:val="24"/>
          <w:szCs w:val="24"/>
        </w:rPr>
        <w:t xml:space="preserve">                           69.89</w:t>
      </w:r>
      <w:r>
        <w:rPr>
          <w:rFonts w:hint="default" w:ascii="Times New Roman" w:hAnsi="Times New Roman" w:cs="Times New Roman"/>
          <w:sz w:val="24"/>
          <w:szCs w:val="24"/>
        </w:rPr>
        <w:tab/>
      </w:r>
      <w:r>
        <w:rPr>
          <w:rFonts w:hint="default" w:ascii="Times New Roman" w:hAnsi="Times New Roman" w:cs="Times New Roman"/>
          <w:sz w:val="24"/>
          <w:szCs w:val="24"/>
        </w:rPr>
        <w:t xml:space="preserve">          1.27</w:t>
      </w:r>
      <w:r>
        <w:rPr>
          <w:rFonts w:hint="default" w:ascii="Times New Roman" w:hAnsi="Times New Roman" w:cs="Times New Roman"/>
          <w:sz w:val="24"/>
          <w:szCs w:val="24"/>
        </w:rPr>
        <w:tab/>
      </w:r>
      <w:r>
        <w:rPr>
          <w:rFonts w:hint="default" w:ascii="Times New Roman" w:hAnsi="Times New Roman" w:cs="Times New Roman"/>
          <w:sz w:val="24"/>
          <w:szCs w:val="24"/>
        </w:rPr>
        <w:t xml:space="preserve"> 1.82%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Q‑76</w:t>
      </w:r>
      <w:r>
        <w:rPr>
          <w:rFonts w:hint="default" w:ascii="Times New Roman" w:hAnsi="Times New Roman" w:cs="Times New Roman"/>
          <w:sz w:val="24"/>
          <w:szCs w:val="24"/>
        </w:rPr>
        <w:tab/>
      </w:r>
      <w:r>
        <w:rPr>
          <w:rFonts w:hint="default" w:ascii="Times New Roman" w:hAnsi="Times New Roman" w:cs="Times New Roman"/>
          <w:sz w:val="24"/>
          <w:szCs w:val="24"/>
        </w:rPr>
        <w:t xml:space="preserve">                 QC</w:t>
      </w:r>
      <w:r>
        <w:rPr>
          <w:rFonts w:hint="default" w:ascii="Times New Roman" w:hAnsi="Times New Roman" w:cs="Times New Roman"/>
          <w:sz w:val="24"/>
          <w:szCs w:val="24"/>
        </w:rPr>
        <w:tab/>
      </w:r>
      <w:r>
        <w:rPr>
          <w:rFonts w:hint="default" w:ascii="Times New Roman" w:hAnsi="Times New Roman" w:cs="Times New Roman"/>
          <w:sz w:val="24"/>
          <w:szCs w:val="24"/>
        </w:rPr>
        <w:t xml:space="preserve">                   76</w:t>
      </w:r>
      <w:r>
        <w:rPr>
          <w:rFonts w:hint="default" w:ascii="Times New Roman" w:hAnsi="Times New Roman" w:cs="Times New Roman"/>
          <w:sz w:val="24"/>
          <w:szCs w:val="24"/>
        </w:rPr>
        <w:tab/>
      </w:r>
      <w:r>
        <w:rPr>
          <w:rFonts w:hint="default" w:ascii="Times New Roman" w:hAnsi="Times New Roman" w:cs="Times New Roman"/>
          <w:sz w:val="24"/>
          <w:szCs w:val="24"/>
        </w:rPr>
        <w:t xml:space="preserve">                           73.90</w:t>
      </w:r>
      <w:r>
        <w:rPr>
          <w:rFonts w:hint="default" w:ascii="Times New Roman" w:hAnsi="Times New Roman" w:cs="Times New Roman"/>
          <w:sz w:val="24"/>
          <w:szCs w:val="24"/>
        </w:rPr>
        <w:tab/>
      </w:r>
      <w:r>
        <w:rPr>
          <w:rFonts w:hint="default" w:ascii="Times New Roman" w:hAnsi="Times New Roman" w:cs="Times New Roman"/>
          <w:sz w:val="24"/>
          <w:szCs w:val="24"/>
        </w:rPr>
        <w:t xml:space="preserve">          1.27</w:t>
      </w:r>
      <w:r>
        <w:rPr>
          <w:rFonts w:hint="default" w:ascii="Times New Roman" w:hAnsi="Times New Roman" w:cs="Times New Roman"/>
          <w:sz w:val="24"/>
          <w:szCs w:val="24"/>
        </w:rPr>
        <w:tab/>
      </w:r>
      <w:r>
        <w:rPr>
          <w:rFonts w:hint="default" w:ascii="Times New Roman" w:hAnsi="Times New Roman" w:cs="Times New Roman"/>
          <w:sz w:val="24"/>
          <w:szCs w:val="24"/>
        </w:rPr>
        <w:t xml:space="preserve"> 1.72%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Q‑82</w:t>
      </w:r>
      <w:r>
        <w:rPr>
          <w:rFonts w:hint="default" w:ascii="Times New Roman" w:hAnsi="Times New Roman" w:cs="Times New Roman"/>
          <w:sz w:val="24"/>
          <w:szCs w:val="24"/>
        </w:rPr>
        <w:tab/>
      </w:r>
      <w:r>
        <w:rPr>
          <w:rFonts w:hint="default" w:ascii="Times New Roman" w:hAnsi="Times New Roman" w:cs="Times New Roman"/>
          <w:sz w:val="24"/>
          <w:szCs w:val="24"/>
        </w:rPr>
        <w:t xml:space="preserve">                 QC</w:t>
      </w:r>
      <w:r>
        <w:rPr>
          <w:rFonts w:hint="default" w:ascii="Times New Roman" w:hAnsi="Times New Roman" w:cs="Times New Roman"/>
          <w:sz w:val="24"/>
          <w:szCs w:val="24"/>
        </w:rPr>
        <w:tab/>
      </w:r>
      <w:r>
        <w:rPr>
          <w:rFonts w:hint="default" w:ascii="Times New Roman" w:hAnsi="Times New Roman" w:cs="Times New Roman"/>
          <w:sz w:val="24"/>
          <w:szCs w:val="24"/>
        </w:rPr>
        <w:t xml:space="preserve">                   82</w:t>
      </w:r>
      <w:r>
        <w:rPr>
          <w:rFonts w:hint="default" w:ascii="Times New Roman" w:hAnsi="Times New Roman" w:cs="Times New Roman"/>
          <w:sz w:val="24"/>
          <w:szCs w:val="24"/>
        </w:rPr>
        <w:tab/>
      </w:r>
      <w:r>
        <w:rPr>
          <w:rFonts w:hint="default" w:ascii="Times New Roman" w:hAnsi="Times New Roman" w:cs="Times New Roman"/>
          <w:sz w:val="24"/>
          <w:szCs w:val="24"/>
        </w:rPr>
        <w:t xml:space="preserve">                           80.60</w:t>
      </w:r>
      <w:r>
        <w:rPr>
          <w:rFonts w:hint="default" w:ascii="Times New Roman" w:hAnsi="Times New Roman" w:cs="Times New Roman"/>
          <w:sz w:val="24"/>
          <w:szCs w:val="24"/>
        </w:rPr>
        <w:tab/>
      </w:r>
      <w:r>
        <w:rPr>
          <w:rFonts w:hint="default" w:ascii="Times New Roman" w:hAnsi="Times New Roman" w:cs="Times New Roman"/>
          <w:sz w:val="24"/>
          <w:szCs w:val="24"/>
        </w:rPr>
        <w:t xml:space="preserve">          0.38</w:t>
      </w:r>
      <w:r>
        <w:rPr>
          <w:rFonts w:hint="default" w:ascii="Times New Roman" w:hAnsi="Times New Roman" w:cs="Times New Roman"/>
          <w:sz w:val="24"/>
          <w:szCs w:val="24"/>
        </w:rPr>
        <w:tab/>
      </w:r>
      <w:r>
        <w:rPr>
          <w:rFonts w:hint="default" w:ascii="Times New Roman" w:hAnsi="Times New Roman" w:cs="Times New Roman"/>
          <w:sz w:val="24"/>
          <w:szCs w:val="24"/>
        </w:rPr>
        <w:t xml:space="preserve"> 0.47%</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00813‑L00636</w:t>
      </w:r>
      <w:r>
        <w:rPr>
          <w:rFonts w:hint="default" w:ascii="Times New Roman" w:hAnsi="Times New Roman" w:cs="Times New Roman"/>
          <w:sz w:val="24"/>
          <w:szCs w:val="24"/>
        </w:rPr>
        <w:tab/>
      </w:r>
      <w:r>
        <w:rPr>
          <w:rFonts w:hint="default" w:ascii="Times New Roman" w:hAnsi="Times New Roman" w:cs="Times New Roman"/>
          <w:sz w:val="24"/>
          <w:szCs w:val="24"/>
        </w:rPr>
        <w:t xml:space="preserve">      Short</w:t>
      </w:r>
      <w:r>
        <w:rPr>
          <w:rFonts w:hint="default" w:ascii="Times New Roman" w:hAnsi="Times New Roman" w:cs="Times New Roman"/>
          <w:sz w:val="24"/>
          <w:szCs w:val="24"/>
        </w:rPr>
        <w:tab/>
      </w:r>
      <w:r>
        <w:rPr>
          <w:rFonts w:hint="default" w:ascii="Times New Roman" w:hAnsi="Times New Roman" w:cs="Times New Roman"/>
          <w:sz w:val="24"/>
          <w:szCs w:val="24"/>
        </w:rPr>
        <w:t xml:space="preserve">       166</w:t>
      </w:r>
      <w:r>
        <w:rPr>
          <w:rFonts w:hint="default" w:ascii="Times New Roman" w:hAnsi="Times New Roman" w:cs="Times New Roman"/>
          <w:sz w:val="24"/>
          <w:szCs w:val="24"/>
        </w:rPr>
        <w:tab/>
      </w:r>
      <w:r>
        <w:rPr>
          <w:rFonts w:hint="default" w:ascii="Times New Roman" w:hAnsi="Times New Roman" w:cs="Times New Roman"/>
          <w:sz w:val="24"/>
          <w:szCs w:val="24"/>
        </w:rPr>
        <w:t xml:space="preserve">                167.02</w:t>
      </w:r>
      <w:r>
        <w:rPr>
          <w:rFonts w:hint="default" w:ascii="Times New Roman" w:hAnsi="Times New Roman" w:cs="Times New Roman"/>
          <w:sz w:val="24"/>
          <w:szCs w:val="24"/>
        </w:rPr>
        <w:tab/>
      </w:r>
      <w:r>
        <w:rPr>
          <w:rFonts w:hint="default" w:ascii="Times New Roman" w:hAnsi="Times New Roman" w:cs="Times New Roman"/>
          <w:sz w:val="24"/>
          <w:szCs w:val="24"/>
        </w:rPr>
        <w:t xml:space="preserve">          0.04</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00808‑L00326</w:t>
      </w:r>
      <w:r>
        <w:rPr>
          <w:rFonts w:hint="default" w:ascii="Times New Roman" w:hAnsi="Times New Roman" w:cs="Times New Roman"/>
          <w:sz w:val="24"/>
          <w:szCs w:val="24"/>
        </w:rPr>
        <w:tab/>
      </w:r>
      <w:r>
        <w:rPr>
          <w:rFonts w:hint="default" w:ascii="Times New Roman" w:hAnsi="Times New Roman" w:cs="Times New Roman"/>
          <w:sz w:val="24"/>
          <w:szCs w:val="24"/>
        </w:rPr>
        <w:t xml:space="preserve">      Short</w:t>
      </w:r>
      <w:r>
        <w:rPr>
          <w:rFonts w:hint="default" w:ascii="Times New Roman" w:hAnsi="Times New Roman" w:cs="Times New Roman"/>
          <w:sz w:val="24"/>
          <w:szCs w:val="24"/>
        </w:rPr>
        <w:tab/>
      </w:r>
      <w:r>
        <w:rPr>
          <w:rFonts w:hint="default" w:ascii="Times New Roman" w:hAnsi="Times New Roman" w:cs="Times New Roman"/>
          <w:sz w:val="24"/>
          <w:szCs w:val="24"/>
        </w:rPr>
        <w:t xml:space="preserve">       172</w:t>
      </w:r>
      <w:r>
        <w:rPr>
          <w:rFonts w:hint="default" w:ascii="Times New Roman" w:hAnsi="Times New Roman" w:cs="Times New Roman"/>
          <w:sz w:val="24"/>
          <w:szCs w:val="24"/>
        </w:rPr>
        <w:tab/>
      </w:r>
      <w:r>
        <w:rPr>
          <w:rFonts w:hint="default" w:ascii="Times New Roman" w:hAnsi="Times New Roman" w:cs="Times New Roman"/>
          <w:sz w:val="24"/>
          <w:szCs w:val="24"/>
        </w:rPr>
        <w:t xml:space="preserve">                173.15</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r>
        <w:rPr>
          <w:rFonts w:hint="default" w:ascii="Times New Roman" w:hAnsi="Times New Roman" w:cs="Times New Roman"/>
          <w:sz w:val="24"/>
          <w:szCs w:val="24"/>
        </w:rPr>
        <w:tab/>
      </w:r>
      <w:r>
        <w:rPr>
          <w:rFonts w:hint="default" w:ascii="Times New Roman" w:hAnsi="Times New Roman" w:cs="Times New Roman"/>
          <w:sz w:val="24"/>
          <w:szCs w:val="24"/>
        </w:rPr>
        <w:t xml:space="preserve"> 0.01%</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00799‑L00317</w:t>
      </w:r>
      <w:r>
        <w:rPr>
          <w:rFonts w:hint="default" w:ascii="Times New Roman" w:hAnsi="Times New Roman" w:cs="Times New Roman"/>
          <w:sz w:val="24"/>
          <w:szCs w:val="24"/>
        </w:rPr>
        <w:tab/>
      </w:r>
      <w:r>
        <w:rPr>
          <w:rFonts w:hint="default" w:ascii="Times New Roman" w:hAnsi="Times New Roman" w:cs="Times New Roman"/>
          <w:sz w:val="24"/>
          <w:szCs w:val="24"/>
        </w:rPr>
        <w:t xml:space="preserve">      Short</w:t>
      </w:r>
      <w:r>
        <w:rPr>
          <w:rFonts w:hint="default" w:ascii="Times New Roman" w:hAnsi="Times New Roman" w:cs="Times New Roman"/>
          <w:sz w:val="24"/>
          <w:szCs w:val="24"/>
        </w:rPr>
        <w:tab/>
      </w:r>
      <w:r>
        <w:rPr>
          <w:rFonts w:hint="default" w:ascii="Times New Roman" w:hAnsi="Times New Roman" w:cs="Times New Roman"/>
          <w:sz w:val="24"/>
          <w:szCs w:val="24"/>
        </w:rPr>
        <w:t xml:space="preserve">       178</w:t>
      </w:r>
      <w:r>
        <w:rPr>
          <w:rFonts w:hint="default" w:ascii="Times New Roman" w:hAnsi="Times New Roman" w:cs="Times New Roman"/>
          <w:sz w:val="24"/>
          <w:szCs w:val="24"/>
        </w:rPr>
        <w:tab/>
      </w:r>
      <w:r>
        <w:rPr>
          <w:rFonts w:hint="default" w:ascii="Times New Roman" w:hAnsi="Times New Roman" w:cs="Times New Roman"/>
          <w:sz w:val="24"/>
          <w:szCs w:val="24"/>
        </w:rPr>
        <w:t xml:space="preserve">                179.98</w:t>
      </w:r>
      <w:r>
        <w:rPr>
          <w:rFonts w:hint="default" w:ascii="Times New Roman" w:hAnsi="Times New Roman" w:cs="Times New Roman"/>
          <w:sz w:val="24"/>
          <w:szCs w:val="24"/>
        </w:rPr>
        <w:tab/>
      </w:r>
      <w:r>
        <w:rPr>
          <w:rFonts w:hint="default" w:ascii="Times New Roman" w:hAnsi="Times New Roman" w:cs="Times New Roman"/>
          <w:sz w:val="24"/>
          <w:szCs w:val="24"/>
        </w:rPr>
        <w:t xml:space="preserve">          0.05</w:t>
      </w:r>
      <w:r>
        <w:rPr>
          <w:rFonts w:hint="default" w:ascii="Times New Roman" w:hAnsi="Times New Roman" w:cs="Times New Roman"/>
          <w:sz w:val="24"/>
          <w:szCs w:val="24"/>
        </w:rPr>
        <w:tab/>
      </w:r>
      <w:r>
        <w:rPr>
          <w:rFonts w:hint="default" w:ascii="Times New Roman" w:hAnsi="Times New Roman" w:cs="Times New Roman"/>
          <w:sz w:val="24"/>
          <w:szCs w:val="24"/>
        </w:rPr>
        <w:t xml:space="preserve"> 0.03%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02155‑L01607</w:t>
      </w:r>
      <w:r>
        <w:rPr>
          <w:rFonts w:hint="default" w:ascii="Times New Roman" w:hAnsi="Times New Roman" w:cs="Times New Roman"/>
          <w:sz w:val="24"/>
          <w:szCs w:val="24"/>
        </w:rPr>
        <w:tab/>
      </w:r>
      <w:r>
        <w:rPr>
          <w:rFonts w:hint="default" w:ascii="Times New Roman" w:hAnsi="Times New Roman" w:cs="Times New Roman"/>
          <w:sz w:val="24"/>
          <w:szCs w:val="24"/>
        </w:rPr>
        <w:t xml:space="preserve">      Short</w:t>
      </w:r>
      <w:r>
        <w:rPr>
          <w:rFonts w:hint="default" w:ascii="Times New Roman" w:hAnsi="Times New Roman" w:cs="Times New Roman"/>
          <w:sz w:val="24"/>
          <w:szCs w:val="24"/>
        </w:rPr>
        <w:tab/>
      </w:r>
      <w:r>
        <w:rPr>
          <w:rFonts w:hint="default" w:ascii="Times New Roman" w:hAnsi="Times New Roman" w:cs="Times New Roman"/>
          <w:sz w:val="24"/>
          <w:szCs w:val="24"/>
        </w:rPr>
        <w:t xml:space="preserve">       184</w:t>
      </w:r>
      <w:r>
        <w:rPr>
          <w:rFonts w:hint="default" w:ascii="Times New Roman" w:hAnsi="Times New Roman" w:cs="Times New Roman"/>
          <w:sz w:val="24"/>
          <w:szCs w:val="24"/>
        </w:rPr>
        <w:tab/>
      </w:r>
      <w:r>
        <w:rPr>
          <w:rFonts w:hint="default" w:ascii="Times New Roman" w:hAnsi="Times New Roman" w:cs="Times New Roman"/>
          <w:sz w:val="24"/>
          <w:szCs w:val="24"/>
        </w:rPr>
        <w:t xml:space="preserve">                186.50</w:t>
      </w:r>
      <w:r>
        <w:rPr>
          <w:rFonts w:hint="default" w:ascii="Times New Roman" w:hAnsi="Times New Roman" w:cs="Times New Roman"/>
          <w:sz w:val="24"/>
          <w:szCs w:val="24"/>
        </w:rPr>
        <w:tab/>
      </w:r>
      <w:r>
        <w:rPr>
          <w:rFonts w:hint="default" w:ascii="Times New Roman" w:hAnsi="Times New Roman" w:cs="Times New Roman"/>
          <w:sz w:val="24"/>
          <w:szCs w:val="24"/>
        </w:rPr>
        <w:t xml:space="preserve">          0.03</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02115‑L01605</w:t>
      </w:r>
      <w:r>
        <w:rPr>
          <w:rFonts w:hint="default" w:ascii="Times New Roman" w:hAnsi="Times New Roman" w:cs="Times New Roman"/>
          <w:sz w:val="24"/>
          <w:szCs w:val="24"/>
        </w:rPr>
        <w:tab/>
      </w:r>
      <w:r>
        <w:rPr>
          <w:rFonts w:hint="default" w:ascii="Times New Roman" w:hAnsi="Times New Roman" w:cs="Times New Roman"/>
          <w:sz w:val="24"/>
          <w:szCs w:val="24"/>
        </w:rPr>
        <w:t xml:space="preserve">      Medium</w:t>
      </w:r>
      <w:r>
        <w:rPr>
          <w:rFonts w:hint="default" w:ascii="Times New Roman" w:hAnsi="Times New Roman" w:cs="Times New Roman"/>
          <w:sz w:val="24"/>
          <w:szCs w:val="24"/>
        </w:rPr>
        <w:tab/>
      </w:r>
      <w:r>
        <w:rPr>
          <w:rFonts w:hint="default" w:ascii="Times New Roman" w:hAnsi="Times New Roman" w:cs="Times New Roman"/>
          <w:sz w:val="24"/>
          <w:szCs w:val="24"/>
        </w:rPr>
        <w:t xml:space="preserve">       202</w:t>
      </w:r>
      <w:r>
        <w:rPr>
          <w:rFonts w:hint="default" w:ascii="Times New Roman" w:hAnsi="Times New Roman" w:cs="Times New Roman"/>
          <w:sz w:val="24"/>
          <w:szCs w:val="24"/>
        </w:rPr>
        <w:tab/>
      </w:r>
      <w:r>
        <w:rPr>
          <w:rFonts w:hint="default" w:ascii="Times New Roman" w:hAnsi="Times New Roman" w:cs="Times New Roman"/>
          <w:sz w:val="24"/>
          <w:szCs w:val="24"/>
        </w:rPr>
        <w:t xml:space="preserve">                203.80</w:t>
      </w:r>
      <w:r>
        <w:rPr>
          <w:rFonts w:hint="default" w:ascii="Times New Roman" w:hAnsi="Times New Roman" w:cs="Times New Roman"/>
          <w:sz w:val="24"/>
          <w:szCs w:val="24"/>
        </w:rPr>
        <w:tab/>
      </w:r>
      <w:r>
        <w:rPr>
          <w:rFonts w:hint="default" w:ascii="Times New Roman" w:hAnsi="Times New Roman" w:cs="Times New Roman"/>
          <w:sz w:val="24"/>
          <w:szCs w:val="24"/>
        </w:rPr>
        <w:t xml:space="preserve">          0.04</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02845‑L02275</w:t>
      </w:r>
      <w:r>
        <w:rPr>
          <w:rFonts w:hint="default" w:ascii="Times New Roman" w:hAnsi="Times New Roman" w:cs="Times New Roman"/>
          <w:sz w:val="24"/>
          <w:szCs w:val="24"/>
        </w:rPr>
        <w:tab/>
      </w:r>
      <w:r>
        <w:rPr>
          <w:rFonts w:hint="default" w:ascii="Times New Roman" w:hAnsi="Times New Roman" w:cs="Times New Roman"/>
          <w:sz w:val="24"/>
          <w:szCs w:val="24"/>
        </w:rPr>
        <w:t xml:space="preserve">      Medium</w:t>
      </w:r>
      <w:r>
        <w:rPr>
          <w:rFonts w:hint="default" w:ascii="Times New Roman" w:hAnsi="Times New Roman" w:cs="Times New Roman"/>
          <w:sz w:val="24"/>
          <w:szCs w:val="24"/>
        </w:rPr>
        <w:tab/>
      </w:r>
      <w:r>
        <w:rPr>
          <w:rFonts w:hint="default" w:ascii="Times New Roman" w:hAnsi="Times New Roman" w:cs="Times New Roman"/>
          <w:sz w:val="24"/>
          <w:szCs w:val="24"/>
        </w:rPr>
        <w:t xml:space="preserve">       211</w:t>
      </w:r>
      <w:r>
        <w:rPr>
          <w:rFonts w:hint="default" w:ascii="Times New Roman" w:hAnsi="Times New Roman" w:cs="Times New Roman"/>
          <w:sz w:val="24"/>
          <w:szCs w:val="24"/>
        </w:rPr>
        <w:tab/>
      </w:r>
      <w:r>
        <w:rPr>
          <w:rFonts w:hint="default" w:ascii="Times New Roman" w:hAnsi="Times New Roman" w:cs="Times New Roman"/>
          <w:sz w:val="24"/>
          <w:szCs w:val="24"/>
        </w:rPr>
        <w:t xml:space="preserve">                212.68</w:t>
      </w:r>
      <w:r>
        <w:rPr>
          <w:rFonts w:hint="default" w:ascii="Times New Roman" w:hAnsi="Times New Roman" w:cs="Times New Roman"/>
          <w:sz w:val="24"/>
          <w:szCs w:val="24"/>
        </w:rPr>
        <w:tab/>
      </w:r>
      <w:r>
        <w:rPr>
          <w:rFonts w:hint="default" w:ascii="Times New Roman" w:hAnsi="Times New Roman" w:cs="Times New Roman"/>
          <w:sz w:val="24"/>
          <w:szCs w:val="24"/>
        </w:rPr>
        <w:t xml:space="preserve">          0.01</w:t>
      </w:r>
      <w:r>
        <w:rPr>
          <w:rFonts w:hint="default" w:ascii="Times New Roman" w:hAnsi="Times New Roman" w:cs="Times New Roman"/>
          <w:sz w:val="24"/>
          <w:szCs w:val="24"/>
        </w:rPr>
        <w:tab/>
      </w:r>
      <w:r>
        <w:rPr>
          <w:rFonts w:hint="default" w:ascii="Times New Roman" w:hAnsi="Times New Roman" w:cs="Times New Roman"/>
          <w:sz w:val="24"/>
          <w:szCs w:val="24"/>
        </w:rPr>
        <w:t xml:space="preserve"> 0.00%</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00582‑L00147      Medium</w:t>
      </w:r>
      <w:r>
        <w:rPr>
          <w:rFonts w:hint="default" w:ascii="Times New Roman" w:hAnsi="Times New Roman" w:cs="Times New Roman"/>
          <w:sz w:val="24"/>
          <w:szCs w:val="24"/>
        </w:rPr>
        <w:tab/>
      </w:r>
      <w:r>
        <w:rPr>
          <w:rFonts w:hint="default" w:ascii="Times New Roman" w:hAnsi="Times New Roman" w:cs="Times New Roman"/>
          <w:sz w:val="24"/>
          <w:szCs w:val="24"/>
        </w:rPr>
        <w:t xml:space="preserve">       220</w:t>
      </w:r>
      <w:r>
        <w:rPr>
          <w:rFonts w:hint="default" w:ascii="Times New Roman" w:hAnsi="Times New Roman" w:cs="Times New Roman"/>
          <w:sz w:val="24"/>
          <w:szCs w:val="24"/>
        </w:rPr>
        <w:tab/>
      </w:r>
      <w:r>
        <w:rPr>
          <w:rFonts w:hint="default" w:ascii="Times New Roman" w:hAnsi="Times New Roman" w:cs="Times New Roman"/>
          <w:sz w:val="24"/>
          <w:szCs w:val="24"/>
        </w:rPr>
        <w:t xml:space="preserve">                221.41</w:t>
      </w:r>
      <w:r>
        <w:rPr>
          <w:rFonts w:hint="default" w:ascii="Times New Roman" w:hAnsi="Times New Roman" w:cs="Times New Roman"/>
          <w:sz w:val="24"/>
          <w:szCs w:val="24"/>
        </w:rPr>
        <w:tab/>
      </w:r>
      <w:r>
        <w:rPr>
          <w:rFonts w:hint="default" w:ascii="Times New Roman" w:hAnsi="Times New Roman" w:cs="Times New Roman"/>
          <w:sz w:val="24"/>
          <w:szCs w:val="24"/>
        </w:rPr>
        <w:t xml:space="preserve">          0.03</w:t>
      </w:r>
      <w:r>
        <w:rPr>
          <w:rFonts w:hint="default" w:ascii="Times New Roman" w:hAnsi="Times New Roman" w:cs="Times New Roman"/>
          <w:sz w:val="24"/>
          <w:szCs w:val="24"/>
        </w:rPr>
        <w:tab/>
      </w:r>
      <w:r>
        <w:rPr>
          <w:rFonts w:hint="default" w:ascii="Times New Roman" w:hAnsi="Times New Roman" w:cs="Times New Roman"/>
          <w:sz w:val="24"/>
          <w:szCs w:val="24"/>
        </w:rPr>
        <w:t xml:space="preserve"> 0.01%</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02116‑L01604</w:t>
      </w:r>
      <w:r>
        <w:rPr>
          <w:rFonts w:hint="default" w:ascii="Times New Roman" w:hAnsi="Times New Roman" w:cs="Times New Roman"/>
          <w:sz w:val="24"/>
          <w:szCs w:val="24"/>
        </w:rPr>
        <w:tab/>
      </w:r>
      <w:r>
        <w:rPr>
          <w:rFonts w:hint="default" w:ascii="Times New Roman" w:hAnsi="Times New Roman" w:cs="Times New Roman"/>
          <w:sz w:val="24"/>
          <w:szCs w:val="24"/>
        </w:rPr>
        <w:t xml:space="preserve">      Medium</w:t>
      </w:r>
      <w:r>
        <w:rPr>
          <w:rFonts w:hint="default" w:ascii="Times New Roman" w:hAnsi="Times New Roman" w:cs="Times New Roman"/>
          <w:sz w:val="24"/>
          <w:szCs w:val="24"/>
        </w:rPr>
        <w:tab/>
      </w:r>
      <w:r>
        <w:rPr>
          <w:rFonts w:hint="default" w:ascii="Times New Roman" w:hAnsi="Times New Roman" w:cs="Times New Roman"/>
          <w:sz w:val="24"/>
          <w:szCs w:val="24"/>
        </w:rPr>
        <w:t xml:space="preserve">       291</w:t>
      </w:r>
      <w:r>
        <w:rPr>
          <w:rFonts w:hint="default" w:ascii="Times New Roman" w:hAnsi="Times New Roman" w:cs="Times New Roman"/>
          <w:sz w:val="24"/>
          <w:szCs w:val="24"/>
        </w:rPr>
        <w:tab/>
      </w:r>
      <w:r>
        <w:rPr>
          <w:rFonts w:hint="default" w:ascii="Times New Roman" w:hAnsi="Times New Roman" w:cs="Times New Roman"/>
          <w:sz w:val="24"/>
          <w:szCs w:val="24"/>
        </w:rPr>
        <w:t xml:space="preserve">                289.83</w:t>
      </w:r>
      <w:r>
        <w:rPr>
          <w:rFonts w:hint="default" w:ascii="Times New Roman" w:hAnsi="Times New Roman" w:cs="Times New Roman"/>
          <w:sz w:val="24"/>
          <w:szCs w:val="24"/>
        </w:rPr>
        <w:tab/>
      </w:r>
      <w:r>
        <w:rPr>
          <w:rFonts w:hint="default" w:ascii="Times New Roman" w:hAnsi="Times New Roman" w:cs="Times New Roman"/>
          <w:sz w:val="24"/>
          <w:szCs w:val="24"/>
        </w:rPr>
        <w:t xml:space="preserve">          0.06</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00811‑L00329</w:t>
      </w:r>
      <w:r>
        <w:rPr>
          <w:rFonts w:hint="default" w:ascii="Times New Roman" w:hAnsi="Times New Roman" w:cs="Times New Roman"/>
          <w:sz w:val="24"/>
          <w:szCs w:val="24"/>
        </w:rPr>
        <w:tab/>
      </w:r>
      <w:r>
        <w:rPr>
          <w:rFonts w:hint="default" w:ascii="Times New Roman" w:hAnsi="Times New Roman" w:cs="Times New Roman"/>
          <w:sz w:val="24"/>
          <w:szCs w:val="24"/>
        </w:rPr>
        <w:t xml:space="preserve">      Medium</w:t>
      </w:r>
      <w:r>
        <w:rPr>
          <w:rFonts w:hint="default" w:ascii="Times New Roman" w:hAnsi="Times New Roman" w:cs="Times New Roman"/>
          <w:sz w:val="24"/>
          <w:szCs w:val="24"/>
        </w:rPr>
        <w:tab/>
      </w:r>
      <w:r>
        <w:rPr>
          <w:rFonts w:hint="default" w:ascii="Times New Roman" w:hAnsi="Times New Roman" w:cs="Times New Roman"/>
          <w:sz w:val="24"/>
          <w:szCs w:val="24"/>
        </w:rPr>
        <w:t xml:space="preserve">       301</w:t>
      </w:r>
      <w:r>
        <w:rPr>
          <w:rFonts w:hint="default" w:ascii="Times New Roman" w:hAnsi="Times New Roman" w:cs="Times New Roman"/>
          <w:sz w:val="24"/>
          <w:szCs w:val="24"/>
        </w:rPr>
        <w:tab/>
      </w:r>
      <w:r>
        <w:rPr>
          <w:rFonts w:hint="default" w:ascii="Times New Roman" w:hAnsi="Times New Roman" w:cs="Times New Roman"/>
          <w:sz w:val="24"/>
          <w:szCs w:val="24"/>
        </w:rPr>
        <w:t xml:space="preserve">                299.53</w:t>
      </w:r>
      <w:r>
        <w:rPr>
          <w:rFonts w:hint="default" w:ascii="Times New Roman" w:hAnsi="Times New Roman" w:cs="Times New Roman"/>
          <w:sz w:val="24"/>
          <w:szCs w:val="24"/>
        </w:rPr>
        <w:tab/>
      </w:r>
      <w:r>
        <w:rPr>
          <w:rFonts w:hint="default" w:ascii="Times New Roman" w:hAnsi="Times New Roman" w:cs="Times New Roman"/>
          <w:sz w:val="24"/>
          <w:szCs w:val="24"/>
        </w:rPr>
        <w:t xml:space="preserve">          0.04</w:t>
      </w:r>
      <w:r>
        <w:rPr>
          <w:rFonts w:hint="default" w:ascii="Times New Roman" w:hAnsi="Times New Roman" w:cs="Times New Roman"/>
          <w:sz w:val="24"/>
          <w:szCs w:val="24"/>
        </w:rPr>
        <w:tab/>
      </w:r>
      <w:r>
        <w:rPr>
          <w:rFonts w:hint="default" w:ascii="Times New Roman" w:hAnsi="Times New Roman" w:cs="Times New Roman"/>
          <w:sz w:val="24"/>
          <w:szCs w:val="24"/>
        </w:rPr>
        <w:t xml:space="preserve"> 0.01%</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00452‑L00360</w:t>
      </w:r>
      <w:r>
        <w:rPr>
          <w:rFonts w:hint="default" w:ascii="Times New Roman" w:hAnsi="Times New Roman" w:cs="Times New Roman"/>
          <w:sz w:val="24"/>
          <w:szCs w:val="24"/>
        </w:rPr>
        <w:tab/>
      </w:r>
      <w:r>
        <w:rPr>
          <w:rFonts w:hint="default" w:ascii="Times New Roman" w:hAnsi="Times New Roman" w:cs="Times New Roman"/>
          <w:sz w:val="24"/>
          <w:szCs w:val="24"/>
        </w:rPr>
        <w:t xml:space="preserve">      Long</w:t>
      </w:r>
      <w:r>
        <w:rPr>
          <w:rFonts w:hint="default" w:ascii="Times New Roman" w:hAnsi="Times New Roman" w:cs="Times New Roman"/>
          <w:sz w:val="24"/>
          <w:szCs w:val="24"/>
        </w:rPr>
        <w:tab/>
      </w:r>
      <w:r>
        <w:rPr>
          <w:rFonts w:hint="default" w:ascii="Times New Roman" w:hAnsi="Times New Roman" w:cs="Times New Roman"/>
          <w:sz w:val="24"/>
          <w:szCs w:val="24"/>
        </w:rPr>
        <w:t xml:space="preserve">       355</w:t>
      </w:r>
      <w:r>
        <w:rPr>
          <w:rFonts w:hint="default" w:ascii="Times New Roman" w:hAnsi="Times New Roman" w:cs="Times New Roman"/>
          <w:sz w:val="24"/>
          <w:szCs w:val="24"/>
        </w:rPr>
        <w:tab/>
      </w:r>
      <w:r>
        <w:rPr>
          <w:rFonts w:hint="default" w:ascii="Times New Roman" w:hAnsi="Times New Roman" w:cs="Times New Roman"/>
          <w:sz w:val="24"/>
          <w:szCs w:val="24"/>
        </w:rPr>
        <w:t xml:space="preserve">                358.44</w:t>
      </w:r>
      <w:r>
        <w:rPr>
          <w:rFonts w:hint="default" w:ascii="Times New Roman" w:hAnsi="Times New Roman" w:cs="Times New Roman"/>
          <w:sz w:val="24"/>
          <w:szCs w:val="24"/>
        </w:rPr>
        <w:tab/>
      </w:r>
      <w:r>
        <w:rPr>
          <w:rFonts w:hint="default" w:ascii="Times New Roman" w:hAnsi="Times New Roman" w:cs="Times New Roman"/>
          <w:sz w:val="24"/>
          <w:szCs w:val="24"/>
        </w:rPr>
        <w:t xml:space="preserve">          0.11</w:t>
      </w:r>
      <w:r>
        <w:rPr>
          <w:rFonts w:hint="default" w:ascii="Times New Roman" w:hAnsi="Times New Roman" w:cs="Times New Roman"/>
          <w:sz w:val="24"/>
          <w:szCs w:val="24"/>
        </w:rPr>
        <w:tab/>
      </w:r>
      <w:r>
        <w:rPr>
          <w:rFonts w:hint="default" w:ascii="Times New Roman" w:hAnsi="Times New Roman" w:cs="Times New Roman"/>
          <w:sz w:val="24"/>
          <w:szCs w:val="24"/>
        </w:rPr>
        <w:t xml:space="preserve"> 0.03%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02834‑L02265</w:t>
      </w:r>
      <w:r>
        <w:rPr>
          <w:rFonts w:hint="default" w:ascii="Times New Roman" w:hAnsi="Times New Roman" w:cs="Times New Roman"/>
          <w:sz w:val="24"/>
          <w:szCs w:val="24"/>
        </w:rPr>
        <w:tab/>
      </w:r>
      <w:r>
        <w:rPr>
          <w:rFonts w:hint="default" w:ascii="Times New Roman" w:hAnsi="Times New Roman" w:cs="Times New Roman"/>
          <w:sz w:val="24"/>
          <w:szCs w:val="24"/>
        </w:rPr>
        <w:t xml:space="preserve">      Long</w:t>
      </w:r>
      <w:r>
        <w:rPr>
          <w:rFonts w:hint="default" w:ascii="Times New Roman" w:hAnsi="Times New Roman" w:cs="Times New Roman"/>
          <w:sz w:val="24"/>
          <w:szCs w:val="24"/>
        </w:rPr>
        <w:tab/>
      </w:r>
      <w:r>
        <w:rPr>
          <w:rFonts w:hint="default" w:ascii="Times New Roman" w:hAnsi="Times New Roman" w:cs="Times New Roman"/>
          <w:sz w:val="24"/>
          <w:szCs w:val="24"/>
        </w:rPr>
        <w:t xml:space="preserve">       382</w:t>
      </w:r>
      <w:r>
        <w:rPr>
          <w:rFonts w:hint="default" w:ascii="Times New Roman" w:hAnsi="Times New Roman" w:cs="Times New Roman"/>
          <w:sz w:val="24"/>
          <w:szCs w:val="24"/>
        </w:rPr>
        <w:tab/>
      </w:r>
      <w:r>
        <w:rPr>
          <w:rFonts w:hint="default" w:ascii="Times New Roman" w:hAnsi="Times New Roman" w:cs="Times New Roman"/>
          <w:sz w:val="24"/>
          <w:szCs w:val="24"/>
        </w:rPr>
        <w:t xml:space="preserve">                385.38</w:t>
      </w:r>
      <w:r>
        <w:rPr>
          <w:rFonts w:hint="default" w:ascii="Times New Roman" w:hAnsi="Times New Roman" w:cs="Times New Roman"/>
          <w:sz w:val="24"/>
          <w:szCs w:val="24"/>
        </w:rPr>
        <w:tab/>
      </w:r>
      <w:r>
        <w:rPr>
          <w:rFonts w:hint="default" w:ascii="Times New Roman" w:hAnsi="Times New Roman" w:cs="Times New Roman"/>
          <w:sz w:val="24"/>
          <w:szCs w:val="24"/>
        </w:rPr>
        <w:t xml:space="preserve">          0.07</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02846‑L02276</w:t>
      </w:r>
      <w:r>
        <w:rPr>
          <w:rFonts w:hint="default" w:ascii="Times New Roman" w:hAnsi="Times New Roman" w:cs="Times New Roman"/>
          <w:sz w:val="24"/>
          <w:szCs w:val="24"/>
        </w:rPr>
        <w:tab/>
      </w:r>
      <w:r>
        <w:rPr>
          <w:rFonts w:hint="default" w:ascii="Times New Roman" w:hAnsi="Times New Roman" w:cs="Times New Roman"/>
          <w:sz w:val="24"/>
          <w:szCs w:val="24"/>
        </w:rPr>
        <w:t xml:space="preserve">      Long</w:t>
      </w:r>
      <w:r>
        <w:rPr>
          <w:rFonts w:hint="default" w:ascii="Times New Roman" w:hAnsi="Times New Roman" w:cs="Times New Roman"/>
          <w:sz w:val="24"/>
          <w:szCs w:val="24"/>
        </w:rPr>
        <w:tab/>
      </w:r>
      <w:r>
        <w:rPr>
          <w:rFonts w:hint="default" w:ascii="Times New Roman" w:hAnsi="Times New Roman" w:cs="Times New Roman"/>
          <w:sz w:val="24"/>
          <w:szCs w:val="24"/>
        </w:rPr>
        <w:t xml:space="preserve">       391</w:t>
      </w:r>
      <w:r>
        <w:rPr>
          <w:rFonts w:hint="default" w:ascii="Times New Roman" w:hAnsi="Times New Roman" w:cs="Times New Roman"/>
          <w:sz w:val="24"/>
          <w:szCs w:val="24"/>
        </w:rPr>
        <w:tab/>
      </w:r>
      <w:r>
        <w:rPr>
          <w:rFonts w:hint="default" w:ascii="Times New Roman" w:hAnsi="Times New Roman" w:cs="Times New Roman"/>
          <w:sz w:val="24"/>
          <w:szCs w:val="24"/>
        </w:rPr>
        <w:t xml:space="preserve">                394.11</w:t>
      </w:r>
      <w:r>
        <w:rPr>
          <w:rFonts w:hint="default" w:ascii="Times New Roman" w:hAnsi="Times New Roman" w:cs="Times New Roman"/>
          <w:sz w:val="24"/>
          <w:szCs w:val="24"/>
        </w:rPr>
        <w:tab/>
      </w:r>
      <w:r>
        <w:rPr>
          <w:rFonts w:hint="default" w:ascii="Times New Roman" w:hAnsi="Times New Roman" w:cs="Times New Roman"/>
          <w:sz w:val="24"/>
          <w:szCs w:val="24"/>
        </w:rPr>
        <w:t xml:space="preserve">          0.03</w:t>
      </w:r>
      <w:r>
        <w:rPr>
          <w:rFonts w:hint="default" w:ascii="Times New Roman" w:hAnsi="Times New Roman" w:cs="Times New Roman"/>
          <w:sz w:val="24"/>
          <w:szCs w:val="24"/>
        </w:rPr>
        <w:tab/>
      </w:r>
      <w:r>
        <w:rPr>
          <w:rFonts w:hint="default" w:ascii="Times New Roman" w:hAnsi="Times New Roman" w:cs="Times New Roman"/>
          <w:sz w:val="24"/>
          <w:szCs w:val="24"/>
        </w:rPr>
        <w:t xml:space="preserve"> 0.01%</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00801‑L00639</w:t>
      </w:r>
      <w:r>
        <w:rPr>
          <w:rFonts w:hint="default" w:ascii="Times New Roman" w:hAnsi="Times New Roman" w:cs="Times New Roman"/>
          <w:sz w:val="24"/>
          <w:szCs w:val="24"/>
        </w:rPr>
        <w:tab/>
      </w:r>
      <w:r>
        <w:rPr>
          <w:rFonts w:hint="default" w:ascii="Times New Roman" w:hAnsi="Times New Roman" w:cs="Times New Roman"/>
          <w:sz w:val="24"/>
          <w:szCs w:val="24"/>
        </w:rPr>
        <w:t xml:space="preserve">      Long</w:t>
      </w:r>
      <w:r>
        <w:rPr>
          <w:rFonts w:hint="default" w:ascii="Times New Roman" w:hAnsi="Times New Roman" w:cs="Times New Roman"/>
          <w:sz w:val="24"/>
          <w:szCs w:val="24"/>
        </w:rPr>
        <w:tab/>
      </w:r>
      <w:r>
        <w:rPr>
          <w:rFonts w:hint="default" w:ascii="Times New Roman" w:hAnsi="Times New Roman" w:cs="Times New Roman"/>
          <w:sz w:val="24"/>
          <w:szCs w:val="24"/>
        </w:rPr>
        <w:t xml:space="preserve">       400</w:t>
      </w:r>
      <w:r>
        <w:rPr>
          <w:rFonts w:hint="default" w:ascii="Times New Roman" w:hAnsi="Times New Roman" w:cs="Times New Roman"/>
          <w:sz w:val="24"/>
          <w:szCs w:val="24"/>
        </w:rPr>
        <w:tab/>
      </w:r>
      <w:r>
        <w:rPr>
          <w:rFonts w:hint="default" w:ascii="Times New Roman" w:hAnsi="Times New Roman" w:cs="Times New Roman"/>
          <w:sz w:val="24"/>
          <w:szCs w:val="24"/>
        </w:rPr>
        <w:t xml:space="preserve">                402.36</w:t>
      </w:r>
      <w:r>
        <w:rPr>
          <w:rFonts w:hint="default" w:ascii="Times New Roman" w:hAnsi="Times New Roman" w:cs="Times New Roman"/>
          <w:sz w:val="24"/>
          <w:szCs w:val="24"/>
        </w:rPr>
        <w:tab/>
      </w:r>
      <w:r>
        <w:rPr>
          <w:rFonts w:hint="default" w:ascii="Times New Roman" w:hAnsi="Times New Roman" w:cs="Times New Roman"/>
          <w:sz w:val="24"/>
          <w:szCs w:val="24"/>
        </w:rPr>
        <w:t xml:space="preserve">          0.03</w:t>
      </w:r>
      <w:r>
        <w:rPr>
          <w:rFonts w:hint="default" w:ascii="Times New Roman" w:hAnsi="Times New Roman" w:cs="Times New Roman"/>
          <w:sz w:val="24"/>
          <w:szCs w:val="24"/>
        </w:rPr>
        <w:tab/>
      </w:r>
      <w:r>
        <w:rPr>
          <w:rFonts w:hint="default" w:ascii="Times New Roman" w:hAnsi="Times New Roman" w:cs="Times New Roman"/>
          <w:sz w:val="24"/>
          <w:szCs w:val="24"/>
        </w:rPr>
        <w:t xml:space="preserve"> 0.01%</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00802‑L00320</w:t>
      </w:r>
      <w:r>
        <w:rPr>
          <w:rFonts w:hint="default" w:ascii="Times New Roman" w:hAnsi="Times New Roman" w:cs="Times New Roman"/>
          <w:sz w:val="24"/>
          <w:szCs w:val="24"/>
        </w:rPr>
        <w:tab/>
      </w:r>
      <w:r>
        <w:rPr>
          <w:rFonts w:hint="default" w:ascii="Times New Roman" w:hAnsi="Times New Roman" w:cs="Times New Roman"/>
          <w:sz w:val="24"/>
          <w:szCs w:val="24"/>
        </w:rPr>
        <w:t xml:space="preserve">      Long</w:t>
      </w:r>
      <w:r>
        <w:rPr>
          <w:rFonts w:hint="default" w:ascii="Times New Roman" w:hAnsi="Times New Roman" w:cs="Times New Roman"/>
          <w:sz w:val="24"/>
          <w:szCs w:val="24"/>
        </w:rPr>
        <w:tab/>
      </w:r>
      <w:r>
        <w:rPr>
          <w:rFonts w:hint="default" w:ascii="Times New Roman" w:hAnsi="Times New Roman" w:cs="Times New Roman"/>
          <w:sz w:val="24"/>
          <w:szCs w:val="24"/>
        </w:rPr>
        <w:t xml:space="preserve">       443</w:t>
      </w:r>
      <w:r>
        <w:rPr>
          <w:rFonts w:hint="default" w:ascii="Times New Roman" w:hAnsi="Times New Roman" w:cs="Times New Roman"/>
          <w:sz w:val="24"/>
          <w:szCs w:val="24"/>
        </w:rPr>
        <w:tab/>
      </w:r>
      <w:r>
        <w:rPr>
          <w:rFonts w:hint="default" w:ascii="Times New Roman" w:hAnsi="Times New Roman" w:cs="Times New Roman"/>
          <w:sz w:val="24"/>
          <w:szCs w:val="24"/>
        </w:rPr>
        <w:t xml:space="preserve">                445.45</w:t>
      </w:r>
      <w:r>
        <w:rPr>
          <w:rFonts w:hint="default" w:ascii="Times New Roman" w:hAnsi="Times New Roman" w:cs="Times New Roman"/>
          <w:sz w:val="24"/>
          <w:szCs w:val="24"/>
        </w:rPr>
        <w:tab/>
      </w:r>
      <w:r>
        <w:rPr>
          <w:rFonts w:hint="default" w:ascii="Times New Roman" w:hAnsi="Times New Roman" w:cs="Times New Roman"/>
          <w:sz w:val="24"/>
          <w:szCs w:val="24"/>
        </w:rPr>
        <w:t xml:space="preserve">          0.04</w:t>
      </w:r>
      <w:r>
        <w:rPr>
          <w:rFonts w:hint="default" w:ascii="Times New Roman" w:hAnsi="Times New Roman" w:cs="Times New Roman"/>
          <w:sz w:val="24"/>
          <w:szCs w:val="24"/>
        </w:rPr>
        <w:tab/>
      </w:r>
      <w:r>
        <w:rPr>
          <w:rFonts w:hint="default" w:ascii="Times New Roman" w:hAnsi="Times New Roman" w:cs="Times New Roman"/>
          <w:sz w:val="24"/>
          <w:szCs w:val="24"/>
        </w:rPr>
        <w:t xml:space="preserve"> 0.01%</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01388‑L28680</w:t>
      </w:r>
      <w:r>
        <w:rPr>
          <w:rFonts w:hint="default" w:ascii="Times New Roman" w:hAnsi="Times New Roman" w:cs="Times New Roman"/>
          <w:sz w:val="24"/>
          <w:szCs w:val="24"/>
        </w:rPr>
        <w:tab/>
      </w:r>
      <w:r>
        <w:rPr>
          <w:rFonts w:hint="default" w:ascii="Times New Roman" w:hAnsi="Times New Roman" w:cs="Times New Roman"/>
          <w:sz w:val="24"/>
          <w:szCs w:val="24"/>
        </w:rPr>
        <w:t xml:space="preserve">      Long</w:t>
      </w:r>
      <w:r>
        <w:rPr>
          <w:rFonts w:hint="default" w:ascii="Times New Roman" w:hAnsi="Times New Roman" w:cs="Times New Roman"/>
          <w:sz w:val="24"/>
          <w:szCs w:val="24"/>
        </w:rPr>
        <w:tab/>
      </w:r>
      <w:r>
        <w:rPr>
          <w:rFonts w:hint="default" w:ascii="Times New Roman" w:hAnsi="Times New Roman" w:cs="Times New Roman"/>
          <w:sz w:val="24"/>
          <w:szCs w:val="24"/>
        </w:rPr>
        <w:t xml:space="preserve">       454</w:t>
      </w:r>
      <w:r>
        <w:rPr>
          <w:rFonts w:hint="default" w:ascii="Times New Roman" w:hAnsi="Times New Roman" w:cs="Times New Roman"/>
          <w:sz w:val="24"/>
          <w:szCs w:val="24"/>
        </w:rPr>
        <w:tab/>
      </w:r>
      <w:r>
        <w:rPr>
          <w:rFonts w:hint="default" w:ascii="Times New Roman" w:hAnsi="Times New Roman" w:cs="Times New Roman"/>
          <w:sz w:val="24"/>
          <w:szCs w:val="24"/>
        </w:rPr>
        <w:t xml:space="preserve">                454.45</w:t>
      </w:r>
      <w:r>
        <w:rPr>
          <w:rFonts w:hint="default" w:ascii="Times New Roman" w:hAnsi="Times New Roman" w:cs="Times New Roman"/>
          <w:sz w:val="24"/>
          <w:szCs w:val="24"/>
        </w:rPr>
        <w:tab/>
      </w:r>
      <w:r>
        <w:rPr>
          <w:rFonts w:hint="default" w:ascii="Times New Roman" w:hAnsi="Times New Roman" w:cs="Times New Roman"/>
          <w:sz w:val="24"/>
          <w:szCs w:val="24"/>
        </w:rPr>
        <w:t xml:space="preserve">          0.07</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Precision remained consistent across the entire analytical range across the size domains of the fragments. QC fragments had higher CV% values (0.30–1.82%) than target probes (&lt;0.03%) due to spectral bleed-through in the FAM channel, while target probes showed very low CV%, indicating consistent, correctable systematic biases. The size domain based precision metrics of the different P095 probes are summarized in the following table.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18. Precision metrics by size domain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Domain</w:t>
      </w:r>
      <w:r>
        <w:rPr>
          <w:rFonts w:hint="default" w:ascii="Times New Roman" w:hAnsi="Times New Roman" w:cs="Times New Roman"/>
          <w:sz w:val="24"/>
          <w:szCs w:val="24"/>
        </w:rPr>
        <w:tab/>
      </w:r>
      <w:r>
        <w:rPr>
          <w:rFonts w:hint="default" w:ascii="Times New Roman" w:hAnsi="Times New Roman" w:cs="Times New Roman"/>
          <w:sz w:val="24"/>
          <w:szCs w:val="24"/>
        </w:rPr>
        <w:t xml:space="preserve"> Size Range</w:t>
      </w:r>
      <w:r>
        <w:rPr>
          <w:rFonts w:hint="default" w:ascii="Times New Roman" w:hAnsi="Times New Roman" w:cs="Times New Roman"/>
          <w:sz w:val="24"/>
          <w:szCs w:val="24"/>
        </w:rPr>
        <w:tab/>
      </w:r>
      <w:r>
        <w:rPr>
          <w:rFonts w:hint="default" w:ascii="Times New Roman" w:hAnsi="Times New Roman" w:cs="Times New Roman"/>
          <w:sz w:val="24"/>
          <w:szCs w:val="24"/>
        </w:rPr>
        <w:t xml:space="preserve"> Number of Probes</w:t>
      </w:r>
      <w:r>
        <w:rPr>
          <w:rFonts w:hint="default" w:ascii="Times New Roman" w:hAnsi="Times New Roman" w:cs="Times New Roman"/>
          <w:sz w:val="24"/>
          <w:szCs w:val="24"/>
        </w:rPr>
        <w:tab/>
      </w:r>
      <w:r>
        <w:rPr>
          <w:rFonts w:hint="default" w:ascii="Times New Roman" w:hAnsi="Times New Roman" w:cs="Times New Roman"/>
          <w:sz w:val="24"/>
          <w:szCs w:val="24"/>
        </w:rPr>
        <w:t>Mean SD(nt)</w:t>
      </w:r>
      <w:r>
        <w:rPr>
          <w:rFonts w:hint="default" w:ascii="Times New Roman" w:hAnsi="Times New Roman" w:cs="Times New Roman"/>
          <w:sz w:val="24"/>
          <w:szCs w:val="24"/>
        </w:rPr>
        <w:tab/>
      </w:r>
      <w:r>
        <w:rPr>
          <w:rFonts w:hint="default" w:ascii="Times New Roman" w:hAnsi="Times New Roman" w:cs="Times New Roman"/>
          <w:sz w:val="24"/>
          <w:szCs w:val="24"/>
        </w:rPr>
        <w:t xml:space="preserve"> Mean CV%     Max CV%</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QC Fragments</w:t>
      </w:r>
      <w:r>
        <w:rPr>
          <w:rFonts w:hint="default" w:ascii="Times New Roman" w:hAnsi="Times New Roman" w:cs="Times New Roman"/>
          <w:sz w:val="24"/>
          <w:szCs w:val="24"/>
        </w:rPr>
        <w:tab/>
      </w:r>
      <w:r>
        <w:rPr>
          <w:rFonts w:hint="default" w:ascii="Times New Roman" w:hAnsi="Times New Roman" w:cs="Times New Roman"/>
          <w:sz w:val="24"/>
          <w:szCs w:val="24"/>
        </w:rPr>
        <w:t xml:space="preserve">   64–82 nt</w:t>
      </w:r>
      <w:r>
        <w:rPr>
          <w:rFonts w:hint="default" w:ascii="Times New Roman" w:hAnsi="Times New Roman" w:cs="Times New Roman"/>
          <w:sz w:val="24"/>
          <w:szCs w:val="24"/>
        </w:rPr>
        <w:tab/>
      </w:r>
      <w:r>
        <w:rPr>
          <w:rFonts w:hint="default" w:ascii="Times New Roman" w:hAnsi="Times New Roman" w:cs="Times New Roman"/>
          <w:sz w:val="24"/>
          <w:szCs w:val="24"/>
        </w:rPr>
        <w:t xml:space="preserve">         4</w:t>
      </w:r>
      <w:r>
        <w:rPr>
          <w:rFonts w:hint="default" w:ascii="Times New Roman" w:hAnsi="Times New Roman" w:cs="Times New Roman"/>
          <w:sz w:val="24"/>
          <w:szCs w:val="24"/>
        </w:rPr>
        <w:tab/>
      </w:r>
      <w:r>
        <w:rPr>
          <w:rFonts w:hint="default" w:ascii="Times New Roman" w:hAnsi="Times New Roman" w:cs="Times New Roman"/>
          <w:sz w:val="24"/>
          <w:szCs w:val="24"/>
        </w:rPr>
        <w:t xml:space="preserve">                           0.78</w:t>
      </w:r>
      <w:r>
        <w:rPr>
          <w:rFonts w:hint="default" w:ascii="Times New Roman" w:hAnsi="Times New Roman" w:cs="Times New Roman"/>
          <w:sz w:val="24"/>
          <w:szCs w:val="24"/>
        </w:rPr>
        <w:tab/>
      </w:r>
      <w:r>
        <w:rPr>
          <w:rFonts w:hint="default" w:ascii="Times New Roman" w:hAnsi="Times New Roman" w:cs="Times New Roman"/>
          <w:sz w:val="24"/>
          <w:szCs w:val="24"/>
        </w:rPr>
        <w:t xml:space="preserve">                1.08%</w:t>
      </w:r>
      <w:r>
        <w:rPr>
          <w:rFonts w:hint="default" w:ascii="Times New Roman" w:hAnsi="Times New Roman" w:cs="Times New Roman"/>
          <w:sz w:val="24"/>
          <w:szCs w:val="24"/>
        </w:rPr>
        <w:tab/>
      </w:r>
      <w:r>
        <w:rPr>
          <w:rFonts w:hint="default" w:ascii="Times New Roman" w:hAnsi="Times New Roman" w:cs="Times New Roman"/>
          <w:sz w:val="24"/>
          <w:szCs w:val="24"/>
        </w:rPr>
        <w:t xml:space="preserve">    1.82%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Short</w:t>
      </w:r>
      <w:r>
        <w:rPr>
          <w:rFonts w:hint="default" w:ascii="Times New Roman" w:hAnsi="Times New Roman" w:cs="Times New Roman"/>
          <w:sz w:val="24"/>
          <w:szCs w:val="24"/>
        </w:rPr>
        <w:tab/>
      </w:r>
      <w:r>
        <w:rPr>
          <w:rFonts w:hint="default" w:ascii="Times New Roman" w:hAnsi="Times New Roman" w:cs="Times New Roman"/>
          <w:sz w:val="24"/>
          <w:szCs w:val="24"/>
        </w:rPr>
        <w:t xml:space="preserve">              &lt;200 nt</w:t>
      </w:r>
      <w:r>
        <w:rPr>
          <w:rFonts w:hint="default" w:ascii="Times New Roman" w:hAnsi="Times New Roman" w:cs="Times New Roman"/>
          <w:sz w:val="24"/>
          <w:szCs w:val="24"/>
        </w:rPr>
        <w:tab/>
      </w:r>
      <w:r>
        <w:rPr>
          <w:rFonts w:hint="default" w:ascii="Times New Roman" w:hAnsi="Times New Roman" w:cs="Times New Roman"/>
          <w:sz w:val="24"/>
          <w:szCs w:val="24"/>
        </w:rPr>
        <w:t xml:space="preserve">         4</w:t>
      </w:r>
      <w:r>
        <w:rPr>
          <w:rFonts w:hint="default" w:ascii="Times New Roman" w:hAnsi="Times New Roman" w:cs="Times New Roman"/>
          <w:sz w:val="24"/>
          <w:szCs w:val="24"/>
        </w:rPr>
        <w:tab/>
      </w:r>
      <w:r>
        <w:rPr>
          <w:rFonts w:hint="default" w:ascii="Times New Roman" w:hAnsi="Times New Roman" w:cs="Times New Roman"/>
          <w:sz w:val="24"/>
          <w:szCs w:val="24"/>
        </w:rPr>
        <w:t xml:space="preserve">                            0.04</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r>
        <w:rPr>
          <w:rFonts w:hint="default" w:ascii="Times New Roman" w:hAnsi="Times New Roman" w:cs="Times New Roman"/>
          <w:sz w:val="24"/>
          <w:szCs w:val="24"/>
        </w:rPr>
        <w:tab/>
      </w:r>
      <w:r>
        <w:rPr>
          <w:rFonts w:hint="default" w:ascii="Times New Roman" w:hAnsi="Times New Roman" w:cs="Times New Roman"/>
          <w:sz w:val="24"/>
          <w:szCs w:val="24"/>
        </w:rPr>
        <w:t xml:space="preserve">    0.03%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Medium</w:t>
      </w:r>
      <w:r>
        <w:rPr>
          <w:rFonts w:hint="default" w:ascii="Times New Roman" w:hAnsi="Times New Roman" w:cs="Times New Roman"/>
          <w:sz w:val="24"/>
          <w:szCs w:val="24"/>
        </w:rPr>
        <w:tab/>
      </w:r>
      <w:r>
        <w:rPr>
          <w:rFonts w:hint="default" w:ascii="Times New Roman" w:hAnsi="Times New Roman" w:cs="Times New Roman"/>
          <w:sz w:val="24"/>
          <w:szCs w:val="24"/>
        </w:rPr>
        <w:t xml:space="preserve">   200–400 nt</w:t>
      </w:r>
      <w:r>
        <w:rPr>
          <w:rFonts w:hint="default" w:ascii="Times New Roman" w:hAnsi="Times New Roman" w:cs="Times New Roman"/>
          <w:sz w:val="24"/>
          <w:szCs w:val="24"/>
        </w:rPr>
        <w:tab/>
      </w:r>
      <w:r>
        <w:rPr>
          <w:rFonts w:hint="default" w:ascii="Times New Roman" w:hAnsi="Times New Roman" w:cs="Times New Roman"/>
          <w:sz w:val="24"/>
          <w:szCs w:val="24"/>
        </w:rPr>
        <w:t xml:space="preserve">         5</w:t>
      </w:r>
      <w:r>
        <w:rPr>
          <w:rFonts w:hint="default" w:ascii="Times New Roman" w:hAnsi="Times New Roman" w:cs="Times New Roman"/>
          <w:sz w:val="24"/>
          <w:szCs w:val="24"/>
        </w:rPr>
        <w:tab/>
      </w:r>
      <w:r>
        <w:rPr>
          <w:rFonts w:hint="default" w:ascii="Times New Roman" w:hAnsi="Times New Roman" w:cs="Times New Roman"/>
          <w:sz w:val="24"/>
          <w:szCs w:val="24"/>
        </w:rPr>
        <w:t xml:space="preserve">                           0.04</w:t>
      </w:r>
      <w:r>
        <w:rPr>
          <w:rFonts w:hint="default" w:ascii="Times New Roman" w:hAnsi="Times New Roman" w:cs="Times New Roman"/>
          <w:sz w:val="24"/>
          <w:szCs w:val="24"/>
        </w:rPr>
        <w:tab/>
      </w:r>
      <w:r>
        <w:rPr>
          <w:rFonts w:hint="default" w:ascii="Times New Roman" w:hAnsi="Times New Roman" w:cs="Times New Roman"/>
          <w:sz w:val="24"/>
          <w:szCs w:val="24"/>
        </w:rPr>
        <w:t xml:space="preserve">                0.01%</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Long</w:t>
      </w:r>
      <w:r>
        <w:rPr>
          <w:rFonts w:hint="default" w:ascii="Times New Roman" w:hAnsi="Times New Roman" w:cs="Times New Roman"/>
          <w:sz w:val="24"/>
          <w:szCs w:val="24"/>
        </w:rPr>
        <w:tab/>
      </w:r>
      <w:r>
        <w:rPr>
          <w:rFonts w:hint="default" w:ascii="Times New Roman" w:hAnsi="Times New Roman" w:cs="Times New Roman"/>
          <w:sz w:val="24"/>
          <w:szCs w:val="24"/>
        </w:rPr>
        <w:t xml:space="preserve">              &gt;400 nt</w:t>
      </w:r>
      <w:r>
        <w:rPr>
          <w:rFonts w:hint="default" w:ascii="Times New Roman" w:hAnsi="Times New Roman" w:cs="Times New Roman"/>
          <w:sz w:val="24"/>
          <w:szCs w:val="24"/>
        </w:rPr>
        <w:tab/>
      </w:r>
      <w:r>
        <w:rPr>
          <w:rFonts w:hint="default" w:ascii="Times New Roman" w:hAnsi="Times New Roman" w:cs="Times New Roman"/>
          <w:sz w:val="24"/>
          <w:szCs w:val="24"/>
        </w:rPr>
        <w:t xml:space="preserve">         6</w:t>
      </w:r>
      <w:r>
        <w:rPr>
          <w:rFonts w:hint="default" w:ascii="Times New Roman" w:hAnsi="Times New Roman" w:cs="Times New Roman"/>
          <w:sz w:val="24"/>
          <w:szCs w:val="24"/>
        </w:rPr>
        <w:tab/>
      </w:r>
      <w:r>
        <w:rPr>
          <w:rFonts w:hint="default" w:ascii="Times New Roman" w:hAnsi="Times New Roman" w:cs="Times New Roman"/>
          <w:sz w:val="24"/>
          <w:szCs w:val="24"/>
        </w:rPr>
        <w:t xml:space="preserve">                           0.06</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r>
        <w:rPr>
          <w:rFonts w:hint="default" w:ascii="Times New Roman" w:hAnsi="Times New Roman" w:cs="Times New Roman"/>
          <w:sz w:val="24"/>
          <w:szCs w:val="24"/>
        </w:rPr>
        <w:tab/>
      </w:r>
      <w:r>
        <w:rPr>
          <w:rFonts w:hint="default" w:ascii="Times New Roman" w:hAnsi="Times New Roman" w:cs="Times New Roman"/>
          <w:sz w:val="24"/>
          <w:szCs w:val="24"/>
        </w:rPr>
        <w:t xml:space="preserve">    0.03%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Target Probes</w:t>
      </w:r>
      <w:r>
        <w:rPr>
          <w:rFonts w:hint="default" w:ascii="Times New Roman" w:hAnsi="Times New Roman" w:cs="Times New Roman"/>
          <w:sz w:val="24"/>
          <w:szCs w:val="24"/>
        </w:rPr>
        <w:tab/>
      </w:r>
      <w:r>
        <w:rPr>
          <w:rFonts w:hint="default" w:ascii="Times New Roman" w:hAnsi="Times New Roman" w:cs="Times New Roman"/>
          <w:sz w:val="24"/>
          <w:szCs w:val="24"/>
        </w:rPr>
        <w:t xml:space="preserve">   166–454 nt</w:t>
      </w:r>
      <w:r>
        <w:rPr>
          <w:rFonts w:hint="default" w:ascii="Times New Roman" w:hAnsi="Times New Roman" w:cs="Times New Roman"/>
          <w:sz w:val="24"/>
          <w:szCs w:val="24"/>
        </w:rPr>
        <w:tab/>
      </w:r>
      <w:r>
        <w:rPr>
          <w:rFonts w:hint="default" w:ascii="Times New Roman" w:hAnsi="Times New Roman" w:cs="Times New Roman"/>
          <w:sz w:val="24"/>
          <w:szCs w:val="24"/>
        </w:rPr>
        <w:t xml:space="preserve">         15</w:t>
      </w:r>
      <w:r>
        <w:rPr>
          <w:rFonts w:hint="default" w:ascii="Times New Roman" w:hAnsi="Times New Roman" w:cs="Times New Roman"/>
          <w:sz w:val="24"/>
          <w:szCs w:val="24"/>
        </w:rPr>
        <w:tab/>
      </w:r>
      <w:r>
        <w:rPr>
          <w:rFonts w:hint="default" w:ascii="Times New Roman" w:hAnsi="Times New Roman" w:cs="Times New Roman"/>
          <w:sz w:val="24"/>
          <w:szCs w:val="24"/>
        </w:rPr>
        <w:t xml:space="preserve">                0.05</w:t>
      </w:r>
      <w:r>
        <w:rPr>
          <w:rFonts w:hint="default" w:ascii="Times New Roman" w:hAnsi="Times New Roman" w:cs="Times New Roman"/>
          <w:sz w:val="24"/>
          <w:szCs w:val="24"/>
        </w:rPr>
        <w:tab/>
      </w:r>
      <w:r>
        <w:rPr>
          <w:rFonts w:hint="default" w:ascii="Times New Roman" w:hAnsi="Times New Roman" w:cs="Times New Roman"/>
          <w:sz w:val="24"/>
          <w:szCs w:val="24"/>
        </w:rPr>
        <w:t xml:space="preserve">                0.02%</w:t>
      </w:r>
      <w:r>
        <w:rPr>
          <w:rFonts w:hint="default" w:ascii="Times New Roman" w:hAnsi="Times New Roman" w:cs="Times New Roman"/>
          <w:sz w:val="24"/>
          <w:szCs w:val="24"/>
        </w:rPr>
        <w:tab/>
      </w:r>
      <w:r>
        <w:rPr>
          <w:rFonts w:hint="default" w:ascii="Times New Roman" w:hAnsi="Times New Roman" w:cs="Times New Roman"/>
          <w:sz w:val="24"/>
          <w:szCs w:val="24"/>
        </w:rPr>
        <w:t xml:space="preserve">    0.03%</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Reproducibility of mobility shifts was further evaluated by calculating the standard deviation of bias (observed – nominal) for each probe. Values were consistently &lt;1.492 nt across all size domains as presented in table 18, confirming high stability. All inter-sample precision metrics also met the predefined acceptance criteria as presented in table 19, demonstrating reliable performance across samples.</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19. Compliance with acceptance criteria</w:t>
      </w:r>
    </w:p>
    <w:tbl>
      <w:tblPr>
        <w:tblStyle w:val="24"/>
        <w:tblW w:w="1053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1980"/>
        <w:gridCol w:w="2790"/>
        <w:gridCol w:w="2676"/>
        <w:gridCol w:w="11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Parameter</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Measured Value</w:t>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Acceptance Criterion</w:t>
            </w:r>
          </w:p>
        </w:tc>
        <w:tc>
          <w:tcPr>
            <w:tcW w:w="2676"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Reference </w:t>
            </w:r>
          </w:p>
        </w:tc>
        <w:tc>
          <w:tcPr>
            <w:tcW w:w="1104"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Maximum CV% (QC fragments)</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1.71%</w:t>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&lt;2.0%</w:t>
            </w:r>
          </w:p>
        </w:tc>
        <w:tc>
          <w:tcPr>
            <w:tcW w:w="2676"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Empirically derived from system performance</w:t>
            </w:r>
          </w:p>
        </w:tc>
        <w:tc>
          <w:tcPr>
            <w:tcW w:w="1104"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Maximum CV% (target probes)</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0.076%</w:t>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&lt;1.0%</w:t>
            </w:r>
          </w:p>
        </w:tc>
        <w:tc>
          <w:tcPr>
            <w:tcW w:w="2676"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Krebs et al. (2023)</w:t>
            </w:r>
          </w:p>
        </w:tc>
        <w:tc>
          <w:tcPr>
            <w:tcW w:w="1104"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Mean SD (target probes)</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rPr>
              <w:t>0.058 nt</w:t>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≤0.25 nt</w:t>
            </w:r>
          </w:p>
        </w:tc>
        <w:tc>
          <w:tcPr>
            <w:tcW w:w="2676"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CLSI EP15‑A3</w:t>
            </w:r>
          </w:p>
        </w:tc>
        <w:tc>
          <w:tcPr>
            <w:tcW w:w="1104"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Probe-identity variance fraction</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99.7% (σ²_probe = 1.703209 nt²)</w:t>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Demonstrates systematic, not random, bias</w:t>
            </w:r>
          </w:p>
        </w:tc>
        <w:tc>
          <w:tcPr>
            <w:tcW w:w="2676"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Demonstration of stability</w:t>
            </w:r>
          </w:p>
        </w:tc>
        <w:tc>
          <w:tcPr>
            <w:tcW w:w="1104"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STABLE</w:t>
            </w:r>
          </w:p>
        </w:tc>
      </w:tr>
    </w:tbl>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results confirm that the interoperable MLPA workflow achieves excellent inter-sample precision throughout the analytical range. Systematic mobility biases are stable and reproducible, supporting the bin adjustment approach in Section 2.5.1 (CLSI MM17‑Ed2, 2018). Their consistency allows for reliable correction, ensuring robust clinical aneuploidy detection (CLSI EP15‑A3, 2014).</w:t>
      </w: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FAM Channel Background Characterization</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Background Signal Analysis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baseline fluorescence assessment in the FAM channel, non-analytical regions (40–60 nt and 460–480 nt) were evaluated. Across 80 Size standard (ROX-only) control wells, the mean FAM channel background signal (μ_B) was 179</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RFU with a standard deviation (σ_B) of 30.9 RFU, ranging from 101 to 261 RFU. The 95th percentile was 220 RFU.</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Limit of Blank (LoB) and Limit of Detection (LoD)</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Based on background fluorescence measurements obtained from the 80 ROX-only wells, the mean background signal (µB) was 179</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RFU with a standard deviation (σB) of 31.0 RFU. </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Limit of Blank was calculated according to CLSI EP17-A2 as:</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Limit of Blank (LoB) of 226.2 RFU</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Limit of Detection was then derived as:</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LoD = Limit of Blank (LoB) of 226.2 RFU</w:t>
      </w:r>
    </w:p>
    <w:p>
      <w:p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rPr>
        <w:t>All 1,380 target probe observations exceeded the LoD. The lowest recorded probe peak height was 689 RFU (DMD-69, 454 nt), corresponding to 2.5× the LoD, while the mean target probe height was 3,462 RFU (approximately 12.5× the LoD). Bootstrap resampling (1,000 iterations) yielded 95% confidence intervals of [218.3, 232.5] for Limit of Blank (LoB) of 226.2 RFU (DMD-69 (454 nt), the longest probe), yielding a signal-to-LoD ratio of 2.6× (minimum). All 40 diagnostic probes exceeded the LoD in every MLPA well, confirming robust analytical sensitivity across the complete 88–454 nt probe size range. The conservative Limit of Blank (LoB) of 226.2 RFU and LoD = 277.7 RFU establish objective, data-driven thresholds for distinguishing genuine MLPA probe signals from spectral background noise, a prerequisite for confident copy-number calling.</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FAM Channel Peak Intensities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 the 80 ROX-only wells (no MLPA probes added), residual signal was observed in the FAM channel. The overall background intensity was 179</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 30.9 RFU (range 101–261 RFU). Labeled Q-fragments (64, 70, 76 and 82 nt) were detected in the majority of wells. The remaining low-level peaks were unlabeled (“Unknown”) and contributed to the measured background. No evidence of analytically relevant interference that would compromise subsequent probe detection was observed.</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jc w:val="center"/>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937885" cy="3304540"/>
            <wp:effectExtent l="0" t="0" r="5715" b="2540"/>
            <wp:docPr id="7" name="Picture 7" descr="Figure8_Backgroun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igure8_Background (1)"/>
                    <pic:cNvPicPr>
                      <a:picLocks noChangeAspect="1"/>
                    </pic:cNvPicPr>
                  </pic:nvPicPr>
                  <pic:blipFill>
                    <a:blip r:embed="rId14"/>
                    <a:stretch>
                      <a:fillRect/>
                    </a:stretch>
                  </pic:blipFill>
                  <pic:spPr>
                    <a:xfrm>
                      <a:off x="0" y="0"/>
                      <a:ext cx="5937885" cy="3304540"/>
                    </a:xfrm>
                    <a:prstGeom prst="rect">
                      <a:avLst/>
                    </a:prstGeom>
                  </pic:spPr>
                </pic:pic>
              </a:graphicData>
            </a:graphic>
          </wp:inline>
        </w:drawing>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Figure8. Distribution of peak heights recorded in ROX-only wells.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histogram provides a background characterization of signal intensity under the DS-36 spectral matrix. The vertical line marks the mean peak height.</w:t>
      </w:r>
    </w:p>
    <w:p>
      <w:pPr>
        <w:pStyle w:val="49"/>
        <w:numPr>
          <w:ilvl w:val="2"/>
          <w:numId w:val="8"/>
        </w:num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Run-to-Run Stability of Background Signals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Mean FAM background intensity was consistent across the five validation runs, with an overall baseline of μ_B = 175.9 RFU and σ_B = 22.4 RFU. Correlation analysis (Pearson r = -0.037, p = 0.82) and non-parametric bootstrap resampling iterations further confirmed there was no statistically significant run-order drift, with highly consistent, drift-free instrument performance across the entire operational sequence.</w:t>
      </w:r>
    </w:p>
    <w:p>
      <w:pPr>
        <w:pStyle w:val="49"/>
        <w:numPr>
          <w:ilvl w:val="2"/>
          <w:numId w:val="8"/>
        </w:numPr>
        <w:spacing w:line="360" w:lineRule="auto"/>
        <w:jc w:val="both"/>
        <w:rPr>
          <w:rFonts w:hint="default" w:ascii="Times New Roman" w:hAnsi="Times New Roman" w:cs="Times New Roman"/>
          <w:b/>
          <w:bCs/>
          <w:color w:val="FF0000"/>
          <w:sz w:val="24"/>
          <w:szCs w:val="24"/>
        </w:rPr>
      </w:pPr>
      <w:r>
        <w:rPr>
          <w:rFonts w:hint="default" w:ascii="Times New Roman" w:hAnsi="Times New Roman" w:cs="Times New Roman"/>
          <w:b/>
          <w:bCs/>
          <w:sz w:val="24"/>
          <w:szCs w:val="24"/>
        </w:rPr>
        <w:t xml:space="preserve"> Comparison with Genuine Probe Signals</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To establish the baseline, the FAM channel background was measured at 179.5 ± 28.4 RFU (μ_B ± σ_B), yielding a Limit of Blank (LoB) of 226.2 RFU and a Limit of Detection (LoD) of 272.8 RFU (CLSI EP17-A2, n = 80 ROX-only wells). Furthermore, no significant run-to-run variation was observed (F = 1.945; p = 0.113), indicating highly stable instrument performance.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Against this baseline, all genuine FAM probe signals across the 40 MLPA test wells demonstrated clear separation from background noise. The mean target probe signal was 3,462 RFU (approximately 12.5× the LoD). Even the minimum probe signal (DMD-69, 454 nt) recorded 689 RFU, exceeding the LoD by a factor of 2.5. Because all genuine signals exceeded the LoD by at least 2.5 times, we can confirm that background noise is well controlled and does not compromise the reliable clinical detection of aneuploidies (Armbruster &amp; Pry, 2008; CLSI EP17-A2, 2012).</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Summary of Acceptance Criteria</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pre‑established acceptance criteria were satisfied (Table 21).</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21. Summary of acceptance criteria for Analytical Error Metrics in Repurposed DS-36 Spectral Calibration Validation for ROX-Based MLPA Fragment Sizing</w:t>
      </w:r>
    </w:p>
    <w:tbl>
      <w:tblPr>
        <w:tblStyle w:val="24"/>
        <w:tblW w:w="99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8"/>
        <w:gridCol w:w="2790"/>
        <w:gridCol w:w="1260"/>
        <w:gridCol w:w="1980"/>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988"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Parameter</w:t>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Measured Value</w:t>
            </w:r>
          </w:p>
        </w:tc>
        <w:tc>
          <w:tcPr>
            <w:tcW w:w="126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Acceptance Criterion</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Reference</w:t>
            </w:r>
            <w:r>
              <w:rPr>
                <w:rFonts w:hint="default" w:ascii="Times New Roman" w:hAnsi="Times New Roman" w:cs="Times New Roman"/>
                <w:sz w:val="24"/>
                <w:szCs w:val="24"/>
              </w:rPr>
              <w:tab/>
            </w:r>
          </w:p>
        </w:tc>
        <w:tc>
          <w:tcPr>
            <w:tcW w:w="90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Mean TE (ratios)</w:t>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0.08</w:t>
            </w:r>
            <w:r>
              <w:rPr>
                <w:rFonts w:hint="default" w:ascii="Times New Roman" w:hAnsi="Times New Roman" w:cs="Times New Roman"/>
                <w:sz w:val="24"/>
                <w:szCs w:val="24"/>
              </w:rPr>
              <w:tab/>
            </w:r>
          </w:p>
        </w:tc>
        <w:tc>
          <w:tcPr>
            <w:tcW w:w="126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CLSI EP21‑ED3</w:t>
            </w:r>
            <w:r>
              <w:rPr>
                <w:rFonts w:hint="default" w:ascii="Times New Roman" w:hAnsi="Times New Roman" w:cs="Times New Roman"/>
                <w:sz w:val="24"/>
                <w:szCs w:val="24"/>
              </w:rPr>
              <w:tab/>
            </w:r>
          </w:p>
        </w:tc>
        <w:tc>
          <w:tcPr>
            <w:tcW w:w="90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Maximum TE (ratios)</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≤0.076% (max probe CV)</w:t>
            </w:r>
          </w:p>
        </w:tc>
        <w:tc>
          <w:tcPr>
            <w:tcW w:w="126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≤0.2</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CLSI EP21‑ED3</w:t>
            </w:r>
          </w:p>
        </w:tc>
        <w:tc>
          <w:tcPr>
            <w:tcW w:w="90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Mean TE (sizing)</w:t>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sz w:val="24"/>
                <w:szCs w:val="24"/>
              </w:rPr>
              <w:tab/>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0.44 nt</w:t>
            </w:r>
          </w:p>
        </w:tc>
        <w:tc>
          <w:tcPr>
            <w:tcW w:w="126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 nt</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CLSI EP21‑ED3</w:t>
            </w:r>
          </w:p>
        </w:tc>
        <w:tc>
          <w:tcPr>
            <w:tcW w:w="90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Bland‑Altman limits (ratios)</w:t>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−0.05 to +0.07</w:t>
            </w:r>
          </w:p>
        </w:tc>
        <w:tc>
          <w:tcPr>
            <w:tcW w:w="126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Within ±2 SD</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Bland &amp; Altman (1986)</w:t>
            </w:r>
            <w:r>
              <w:rPr>
                <w:rFonts w:hint="default" w:ascii="Times New Roman" w:hAnsi="Times New Roman" w:cs="Times New Roman"/>
                <w:sz w:val="24"/>
                <w:szCs w:val="24"/>
              </w:rPr>
              <w:tab/>
            </w:r>
          </w:p>
        </w:tc>
        <w:tc>
          <w:tcPr>
            <w:tcW w:w="90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Proportional bias (p)</w:t>
            </w:r>
          </w:p>
        </w:tc>
        <w:tc>
          <w:tcPr>
            <w:tcW w:w="279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0.34</w:t>
            </w:r>
            <w:r>
              <w:rPr>
                <w:rFonts w:hint="default" w:ascii="Times New Roman" w:hAnsi="Times New Roman" w:cs="Times New Roman"/>
                <w:sz w:val="24"/>
                <w:szCs w:val="24"/>
              </w:rPr>
              <w:tab/>
            </w:r>
          </w:p>
        </w:tc>
        <w:tc>
          <w:tcPr>
            <w:tcW w:w="126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&gt;0.05</w:t>
            </w:r>
          </w:p>
        </w:tc>
        <w:tc>
          <w:tcPr>
            <w:tcW w:w="19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Giavarina (2015)</w:t>
            </w:r>
            <w:r>
              <w:rPr>
                <w:rFonts w:hint="default" w:ascii="Times New Roman" w:hAnsi="Times New Roman" w:cs="Times New Roman"/>
                <w:sz w:val="24"/>
                <w:szCs w:val="24"/>
              </w:rPr>
              <w:tab/>
            </w:r>
          </w:p>
        </w:tc>
        <w:tc>
          <w:tcPr>
            <w:tcW w:w="90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PASS</w:t>
            </w:r>
          </w:p>
        </w:tc>
      </w:tr>
    </w:tbl>
    <w:p>
      <w:pPr>
        <w:spacing w:line="360" w:lineRule="auto"/>
        <w:jc w:val="both"/>
        <w:rPr>
          <w:rFonts w:hint="default" w:ascii="Times New Roman" w:hAnsi="Times New Roman" w:cs="Times New Roman"/>
          <w:b/>
          <w:color w:val="FF0000"/>
          <w:sz w:val="24"/>
          <w:szCs w:val="24"/>
        </w:rPr>
      </w:pPr>
    </w:p>
    <w:p>
      <w:pPr>
        <w:spacing w:line="360" w:lineRule="auto"/>
        <w:jc w:val="both"/>
        <w:rPr>
          <w:rFonts w:hint="default" w:ascii="Times New Roman" w:hAnsi="Times New Roman" w:cs="Times New Roman"/>
          <w:b/>
          <w:color w:val="FF0000"/>
          <w:sz w:val="24"/>
          <w:szCs w:val="24"/>
        </w:rPr>
      </w:pPr>
    </w:p>
    <w:p>
      <w:pPr>
        <w:spacing w:line="360" w:lineRule="auto"/>
        <w:jc w:val="both"/>
        <w:rPr>
          <w:rFonts w:hint="default" w:ascii="Times New Roman" w:hAnsi="Times New Roman" w:cs="Times New Roman"/>
          <w:b/>
          <w:color w:val="FF0000"/>
          <w:sz w:val="24"/>
          <w:szCs w:val="24"/>
        </w:rPr>
      </w:pP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Reproducibility and Intermediate Precision Results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reliability of the assay was determined using variance components analysis and intraclass correlation coefficient (ICC) calculations in accordance with CLSI EP05‑Ed4 (2025) guidelines. The analysis included fragment sizing data (Q-fragments from 80 ROX-only injections) as well as probe ratio data from 36 evaluable probes across 40 MLPA test samples.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Because capillary identifiers were not available in the exported datasets, capillary-specific variance could not be separated; as a result, the residual variance component encompasses both capillary-to-capillary variation and random measurement noise.</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Variance Components for Fragment Sizing</w:t>
      </w:r>
    </w:p>
    <w:p>
      <w:pPr>
        <w:pStyle w:val="49"/>
        <w:numPr>
          <w:ilvl w:val="3"/>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Probe-Specific Systematic Bias</w:t>
      </w:r>
    </w:p>
    <w:p>
      <w:pPr>
        <w:tabs>
          <w:tab w:val="left" w:pos="331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While the overall mean sizing bias across all target probes is +1.141 nt, individual probes exhibit distinct systematic biases ranging from −1.57 nt (ZFY-4, 283 nt) to +3.50 nt (BRCA2-15, 355 nt). These deviations represent probe-specific capillary electrophoresis (CE) sizing characteristics driven by fragment length, sequence composition, and transient secondary structure, rather than assay failure. It is important to note that Coffalyser.Net applies per-probe size correction internally via the bin set; therefore, the biases reported here are derived from raw fragment list CSV outputs prior to software bin correction. To illustrate the magnitude and direction of these mobility shifts, the probes were stratified by their extreme bias values:</w:t>
      </w:r>
    </w:p>
    <w:p>
      <w:pPr>
        <w:pStyle w:val="49"/>
        <w:numPr>
          <w:ilvl w:val="8"/>
          <w:numId w:val="9"/>
        </w:numPr>
        <w:tabs>
          <w:tab w:val="left" w:pos="331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Largest Positive Biases (Slower Migration): These fragments migrate slower than their nominal size predicts, resulting in the software overestimating their fragment length.</w:t>
      </w:r>
    </w:p>
    <w:p>
      <w:pPr>
        <w:pStyle w:val="49"/>
        <w:numPr>
          <w:ilvl w:val="0"/>
          <w:numId w:val="10"/>
        </w:numPr>
        <w:tabs>
          <w:tab w:val="left" w:pos="-6120"/>
          <w:tab w:val="left" w:pos="-270"/>
          <w:tab w:val="left" w:pos="331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BRCA2-15: +3.50 nt (chr13, 355 nt)</w:t>
      </w:r>
    </w:p>
    <w:p>
      <w:pPr>
        <w:pStyle w:val="49"/>
        <w:numPr>
          <w:ilvl w:val="0"/>
          <w:numId w:val="10"/>
        </w:numPr>
        <w:tabs>
          <w:tab w:val="left" w:pos="-6120"/>
          <w:tab w:val="left" w:pos="-270"/>
          <w:tab w:val="left" w:pos="331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TFF1-1: +3.42 nt (chr21, 382 nt)</w:t>
      </w:r>
    </w:p>
    <w:p>
      <w:pPr>
        <w:pStyle w:val="49"/>
        <w:numPr>
          <w:ilvl w:val="0"/>
          <w:numId w:val="10"/>
        </w:numPr>
        <w:tabs>
          <w:tab w:val="left" w:pos="-6120"/>
          <w:tab w:val="left" w:pos="-270"/>
          <w:tab w:val="left" w:pos="331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SS18-6: +3.14 nt (chr18, 391 nt)</w:t>
      </w:r>
    </w:p>
    <w:p>
      <w:pPr>
        <w:pStyle w:val="49"/>
        <w:numPr>
          <w:ilvl w:val="0"/>
          <w:numId w:val="10"/>
        </w:numPr>
        <w:tabs>
          <w:tab w:val="left" w:pos="-6120"/>
          <w:tab w:val="left" w:pos="-270"/>
          <w:tab w:val="left" w:pos="331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ACSL4-17: +2.51 nt (chrX, 184 nt)</w:t>
      </w:r>
    </w:p>
    <w:p>
      <w:pPr>
        <w:pStyle w:val="49"/>
        <w:numPr>
          <w:ilvl w:val="0"/>
          <w:numId w:val="10"/>
        </w:numPr>
        <w:tabs>
          <w:tab w:val="left" w:pos="-6120"/>
          <w:tab w:val="left" w:pos="-270"/>
          <w:tab w:val="left" w:pos="331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ING1-4: +2.44 nt (chr13, 443 nt)</w:t>
      </w:r>
      <w:r>
        <w:rPr>
          <w:rFonts w:hint="default" w:ascii="Times New Roman" w:hAnsi="Times New Roman" w:cs="Times New Roman"/>
          <w:sz w:val="24"/>
          <w:szCs w:val="24"/>
        </w:rPr>
        <w:tab/>
      </w:r>
    </w:p>
    <w:p>
      <w:pPr>
        <w:pStyle w:val="49"/>
        <w:numPr>
          <w:ilvl w:val="8"/>
          <w:numId w:val="9"/>
        </w:numPr>
        <w:tabs>
          <w:tab w:val="left" w:pos="331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Largest Negative Biases (Faster Migration): These fragments migrate faster than their nominal size predicts, resulting in the software underestimating their fragment length. </w:t>
      </w:r>
    </w:p>
    <w:p>
      <w:pPr>
        <w:pStyle w:val="4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ZFY-4: −1.57 nt (chrY, 283 nt)</w:t>
      </w:r>
    </w:p>
    <w:p>
      <w:pPr>
        <w:pStyle w:val="4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TYMS-7: −1.46 nt (chr18, 301 nt)</w:t>
      </w:r>
    </w:p>
    <w:p>
      <w:pPr>
        <w:pStyle w:val="4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TSPAN7-5: −1.25 nt (chrX, 274 nt)</w:t>
      </w:r>
    </w:p>
    <w:p>
      <w:pPr>
        <w:pStyle w:val="4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SOD1-4: −1.20 nt (chr21, 291 nt)</w:t>
      </w:r>
    </w:p>
    <w:p>
      <w:pPr>
        <w:pStyle w:val="4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 CARM1-1: −0.616 nt (QC probe, 88 nt)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Notably, the direction of these biases reflects size-dependent electrophoretic mobility shifts. The longest fragments consistently exhibit positive shifts (migrating slower than predicted), whereas specific medium-length fragments exhibit negative shifts (migrating faster than predicted).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non-linear size dependency is a well-documented property of single-stranded DNA migration in denaturing CE polymers (Rosenblum et al., 1997; Durney et al., 2015).</w:t>
      </w:r>
    </w:p>
    <w:p>
      <w:pPr>
        <w:pStyle w:val="49"/>
        <w:numPr>
          <w:ilvl w:val="3"/>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Variance Partitioning</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quantify the sources of variation in fragment sizing, the total variance in Q-fragment sizing was partitioned using a non-parametric bootstrap resampling framework, with fragment identity and analytical run modeled as factors. The resulting variance components are detailed in Table 22.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22. Variance components for Q‑fragment sizing across 80 MRC 550 Size Standard wells</w:t>
      </w:r>
    </w:p>
    <w:tbl>
      <w:tblPr>
        <w:tblStyle w:val="24"/>
        <w:tblW w:w="107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2"/>
        <w:gridCol w:w="1546"/>
        <w:gridCol w:w="1080"/>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2"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Variance Component</w:t>
            </w:r>
          </w:p>
        </w:tc>
        <w:tc>
          <w:tcPr>
            <w:tcW w:w="1546"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Variance (nt²)</w:t>
            </w:r>
          </w:p>
        </w:tc>
        <w:tc>
          <w:tcPr>
            <w:tcW w:w="10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of Total</w:t>
            </w:r>
          </w:p>
        </w:tc>
        <w:tc>
          <w:tcPr>
            <w:tcW w:w="450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Interpretation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2"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σ²_probe (between probes)</w:t>
            </w:r>
          </w:p>
        </w:tc>
        <w:tc>
          <w:tcPr>
            <w:tcW w:w="1546"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1.703209</w:t>
            </w:r>
          </w:p>
        </w:tc>
        <w:tc>
          <w:tcPr>
            <w:tcW w:w="10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99.7%</w:t>
            </w:r>
          </w:p>
        </w:tc>
        <w:tc>
          <w:tcPr>
            <w:tcW w:w="450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True differences in fragment mobility (size-dependent CE physics)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2"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σ²_run (between runs)</w:t>
            </w:r>
          </w:p>
        </w:tc>
        <w:tc>
          <w:tcPr>
            <w:tcW w:w="1546"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&lt; 0.001</w:t>
            </w:r>
          </w:p>
        </w:tc>
        <w:tc>
          <w:tcPr>
            <w:tcW w:w="10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&lt; 0.1%</w:t>
            </w:r>
          </w:p>
        </w:tc>
        <w:tc>
          <w:tcPr>
            <w:tcW w:w="450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Negligible run-to-run variability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2"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σ²_residual (capillary + noise)</w:t>
            </w:r>
          </w:p>
        </w:tc>
        <w:tc>
          <w:tcPr>
            <w:tcW w:w="1546"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0.004975</w:t>
            </w:r>
          </w:p>
        </w:tc>
        <w:tc>
          <w:tcPr>
            <w:tcW w:w="10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0.3%</w:t>
            </w:r>
          </w:p>
        </w:tc>
        <w:tc>
          <w:tcPr>
            <w:tcW w:w="450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capillary and injection noise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2"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σ²_total</w:t>
            </w:r>
          </w:p>
        </w:tc>
        <w:tc>
          <w:tcPr>
            <w:tcW w:w="1546"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1.708184</w:t>
            </w:r>
          </w:p>
        </w:tc>
        <w:tc>
          <w:tcPr>
            <w:tcW w:w="1080" w:type="dxa"/>
          </w:tcPr>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100%</w:t>
            </w:r>
          </w:p>
        </w:tc>
        <w:tc>
          <w:tcPr>
            <w:tcW w:w="4500" w:type="dxa"/>
          </w:tcPr>
          <w:p>
            <w:pPr>
              <w:spacing w:line="360" w:lineRule="auto"/>
              <w:jc w:val="both"/>
              <w:rPr>
                <w:rFonts w:hint="default" w:ascii="Times New Roman" w:hAnsi="Times New Roman" w:cs="Times New Roman"/>
                <w:sz w:val="24"/>
                <w:szCs w:val="24"/>
              </w:rPr>
            </w:pPr>
          </w:p>
        </w:tc>
      </w:tr>
    </w:tbl>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True differences in mobility across fragments of different lengths (probe identity) accounted for 99.7% of the total variance, which is expected and desirable as it reflects the inherent, size-dependent physics of CE. </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The run-to-run variability was negligible at &lt;0.1%, demonstrating excellent consistency and stability among the five separate analytical runs. The residual variance, encompassing random capillary and injection noise, accounted for just 0.3%. This minimal residual variance is well within acceptable bounds for high-precision capillary electrophoresis (Krebs et al., 2023) and corresponds to a standard deviation of approximately 1.492 nt.</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ICC (Intraclass Correlation Coefficient) for Fragment Size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two-way mixed-effects model was used to compute the ICC for Q-fragment sizing for absolute agreement across the 80 MRC-550 (ROX-only) capillary wells. To maintain consistency with the non-parametric framework employed throughout this study, the 95% confidence intervals were derived using bootstrap resampling (1,000 iterations) rather than parametric assumptions (Manly, 2018) according to the formula: ICC = 0.991 (bootstrap 95% CI: 0.987–0.994). Koo and Li, 2016 state that this number (ICC &gt; 0.90) denotes great reliability. The high ICC shows that there is little input from instrumental variability and that fragment sizing measurements are very consistent between runs.</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Summary of Reproducibility Findings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Parameter</w:t>
      </w:r>
      <w:r>
        <w:rPr>
          <w:rFonts w:hint="default" w:ascii="Times New Roman" w:hAnsi="Times New Roman" w:cs="Times New Roman"/>
          <w:sz w:val="24"/>
          <w:szCs w:val="24"/>
        </w:rPr>
        <w:tab/>
      </w:r>
      <w:r>
        <w:rPr>
          <w:rFonts w:hint="default" w:ascii="Times New Roman" w:hAnsi="Times New Roman" w:cs="Times New Roman"/>
          <w:sz w:val="24"/>
          <w:szCs w:val="24"/>
        </w:rPr>
        <w:t xml:space="preserve">           ICC</w:t>
      </w:r>
      <w:r>
        <w:rPr>
          <w:rFonts w:hint="default" w:ascii="Times New Roman" w:hAnsi="Times New Roman" w:cs="Times New Roman"/>
          <w:sz w:val="24"/>
          <w:szCs w:val="24"/>
        </w:rPr>
        <w:tab/>
      </w:r>
      <w:r>
        <w:rPr>
          <w:rFonts w:hint="default" w:ascii="Times New Roman" w:hAnsi="Times New Roman" w:cs="Times New Roman"/>
          <w:sz w:val="24"/>
          <w:szCs w:val="24"/>
        </w:rPr>
        <w:t xml:space="preserve">   95% CI</w:t>
      </w:r>
      <w:r>
        <w:rPr>
          <w:rFonts w:hint="default" w:ascii="Times New Roman" w:hAnsi="Times New Roman" w:cs="Times New Roman"/>
          <w:sz w:val="24"/>
          <w:szCs w:val="24"/>
        </w:rPr>
        <w:tab/>
      </w:r>
      <w:r>
        <w:rPr>
          <w:rFonts w:hint="default" w:ascii="Times New Roman" w:hAnsi="Times New Roman" w:cs="Times New Roman"/>
          <w:sz w:val="24"/>
          <w:szCs w:val="24"/>
        </w:rPr>
        <w:t xml:space="preserve">  Interpretation (Koo &amp; Li, 2016)</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Fragment sizing</w:t>
      </w:r>
      <w:r>
        <w:rPr>
          <w:rFonts w:hint="default" w:ascii="Times New Roman" w:hAnsi="Times New Roman" w:cs="Times New Roman"/>
          <w:sz w:val="24"/>
          <w:szCs w:val="24"/>
        </w:rPr>
        <w:tab/>
      </w:r>
      <w:r>
        <w:rPr>
          <w:rFonts w:hint="default" w:ascii="Times New Roman" w:hAnsi="Times New Roman" w:cs="Times New Roman"/>
          <w:sz w:val="24"/>
          <w:szCs w:val="24"/>
        </w:rPr>
        <w:t>0.991</w:t>
      </w:r>
      <w:r>
        <w:rPr>
          <w:rFonts w:hint="default" w:ascii="Times New Roman" w:hAnsi="Times New Roman" w:cs="Times New Roman"/>
          <w:sz w:val="24"/>
          <w:szCs w:val="24"/>
        </w:rPr>
        <w:tab/>
      </w:r>
      <w:r>
        <w:rPr>
          <w:rFonts w:hint="default" w:ascii="Times New Roman" w:hAnsi="Times New Roman" w:cs="Times New Roman"/>
          <w:sz w:val="24"/>
          <w:szCs w:val="24"/>
        </w:rPr>
        <w:t xml:space="preserve">   0.987–0.994</w:t>
      </w:r>
      <w:r>
        <w:rPr>
          <w:rFonts w:hint="default" w:ascii="Times New Roman" w:hAnsi="Times New Roman" w:cs="Times New Roman"/>
          <w:sz w:val="24"/>
          <w:szCs w:val="24"/>
        </w:rPr>
        <w:tab/>
      </w:r>
      <w:r>
        <w:rPr>
          <w:rFonts w:hint="default" w:ascii="Times New Roman" w:hAnsi="Times New Roman" w:cs="Times New Roman"/>
          <w:sz w:val="24"/>
          <w:szCs w:val="24"/>
        </w:rPr>
        <w:t xml:space="preserve">           Excellent reliability</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Probe ratios</w:t>
      </w:r>
      <w:r>
        <w:rPr>
          <w:rFonts w:hint="default" w:ascii="Times New Roman" w:hAnsi="Times New Roman" w:cs="Times New Roman"/>
          <w:sz w:val="24"/>
          <w:szCs w:val="24"/>
        </w:rPr>
        <w:tab/>
      </w:r>
      <w:r>
        <w:rPr>
          <w:rFonts w:hint="default" w:ascii="Times New Roman" w:hAnsi="Times New Roman" w:cs="Times New Roman"/>
          <w:sz w:val="24"/>
          <w:szCs w:val="24"/>
        </w:rPr>
        <w:t xml:space="preserve">           0.958</w:t>
      </w:r>
      <w:r>
        <w:rPr>
          <w:rFonts w:hint="default" w:ascii="Times New Roman" w:hAnsi="Times New Roman" w:cs="Times New Roman"/>
          <w:sz w:val="24"/>
          <w:szCs w:val="24"/>
        </w:rPr>
        <w:tab/>
      </w:r>
      <w:r>
        <w:rPr>
          <w:rFonts w:hint="default" w:ascii="Times New Roman" w:hAnsi="Times New Roman" w:cs="Times New Roman"/>
          <w:sz w:val="24"/>
          <w:szCs w:val="24"/>
        </w:rPr>
        <w:t xml:space="preserve">   0.941–0.971</w:t>
      </w:r>
      <w:r>
        <w:rPr>
          <w:rFonts w:hint="default" w:ascii="Times New Roman" w:hAnsi="Times New Roman" w:cs="Times New Roman"/>
          <w:sz w:val="24"/>
          <w:szCs w:val="24"/>
        </w:rPr>
        <w:tab/>
      </w:r>
      <w:r>
        <w:rPr>
          <w:rFonts w:hint="default" w:ascii="Times New Roman" w:hAnsi="Times New Roman" w:cs="Times New Roman"/>
          <w:sz w:val="24"/>
          <w:szCs w:val="24"/>
        </w:rPr>
        <w:t xml:space="preserve">           Excellent reliability</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constant performance of the size standard and spectral calibration was confirmed by fragment sizing, which demonstrated nearly complete reproducibility across runs. Additionally, probe ratios showed outstanding repeatability, demonstrating the remarkable reproducibility of copy number measurements under various experimental circumstances. The accuracy of these estimations is further supported by the small confidence ranges. With run-to-run variability accounting for less than 1% in fragment sizing and roughly 11% in probe ratios, variance components analysis revealed that instrumental contributions to total variation were negligible.</w:t>
      </w:r>
    </w:p>
    <w:p>
      <w:pPr>
        <w:spacing w:line="360" w:lineRule="auto"/>
        <w:jc w:val="both"/>
        <w:rPr>
          <w:rFonts w:hint="default" w:ascii="Times New Roman" w:hAnsi="Times New Roman" w:cs="Times New Roman"/>
          <w:b/>
          <w:color w:val="FF0000"/>
          <w:sz w:val="24"/>
          <w:szCs w:val="24"/>
        </w:rPr>
      </w:pPr>
      <w:r>
        <w:rPr>
          <w:rFonts w:hint="default" w:ascii="Times New Roman" w:hAnsi="Times New Roman" w:cs="Times New Roman"/>
          <w:sz w:val="24"/>
          <w:szCs w:val="24"/>
        </w:rPr>
        <w:t xml:space="preserve">Generally, the interoperable MLPA workflow shows outstanding reliability for both fragment sizing (ICC = 0.991) and probe ratio measurements (ICC = 0.958), according to reproducibility and intermediate precision analysis. The predominant source of variance can be attributed to actual biological changes across samples, as shown by variance components analysis, which shows that instrumental contributions are very small. These results meet the precision requirements set out in CLSI EP05-Ed4 (2025) guidelines and verify the assay's robustness for clinical aneuploidy detection. </w:t>
      </w: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System Ruggedness Results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assess instrument stability over time, the sizes of the four Q-fragments (Q-64, Q-70, Q-76, Q-82) were evaluated across the five validation runs using all 80 ROX-only control wells. This approach isolates instrument performance by removing biological and sample preparation variability, providing a direct assessment of system ruggedness (CLSI EP05‑Ed4, 2025).</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Overall Q‑Fragment Stability</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four Q-fragments were reliably detected in all 80 ROX-only wells (MRC-550 size standard). The overall mean sizes, standard deviations, and coefficients of variation (CV%) are summarized in Table 24.</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Table 24: Overall Q‑fragment statistics across 80 MRC-550 Size Standard (ROX-only) wells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Fragment   Mean Size(nt)   SD(nt)   CV% (size)  Mean Height (RFU)  SD (RFU)   CV% (height)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Q‑64</w:t>
      </w:r>
      <w:r>
        <w:rPr>
          <w:rFonts w:hint="default" w:ascii="Times New Roman" w:hAnsi="Times New Roman" w:cs="Times New Roman"/>
          <w:sz w:val="24"/>
          <w:szCs w:val="24"/>
        </w:rPr>
        <w:tab/>
      </w:r>
      <w:r>
        <w:rPr>
          <w:rFonts w:hint="default" w:ascii="Times New Roman" w:hAnsi="Times New Roman" w:cs="Times New Roman"/>
          <w:sz w:val="24"/>
          <w:szCs w:val="24"/>
        </w:rPr>
        <w:t xml:space="preserve">           62.65</w:t>
      </w:r>
      <w:r>
        <w:rPr>
          <w:rFonts w:hint="default" w:ascii="Times New Roman" w:hAnsi="Times New Roman" w:cs="Times New Roman"/>
          <w:sz w:val="24"/>
          <w:szCs w:val="24"/>
        </w:rPr>
        <w:tab/>
      </w:r>
      <w:r>
        <w:rPr>
          <w:rFonts w:hint="default" w:ascii="Times New Roman" w:hAnsi="Times New Roman" w:cs="Times New Roman"/>
          <w:sz w:val="24"/>
          <w:szCs w:val="24"/>
        </w:rPr>
        <w:t xml:space="preserve">         0.16       0.26%</w:t>
      </w:r>
      <w:r>
        <w:rPr>
          <w:rFonts w:hint="default" w:ascii="Times New Roman" w:hAnsi="Times New Roman" w:cs="Times New Roman"/>
          <w:sz w:val="24"/>
          <w:szCs w:val="24"/>
        </w:rPr>
        <w:tab/>
      </w:r>
      <w:r>
        <w:rPr>
          <w:rFonts w:hint="default" w:ascii="Times New Roman" w:hAnsi="Times New Roman" w:cs="Times New Roman"/>
          <w:sz w:val="24"/>
          <w:szCs w:val="24"/>
        </w:rPr>
        <w:t xml:space="preserve">               171</w:t>
      </w:r>
      <w:r>
        <w:rPr>
          <w:rFonts w:hint="default" w:ascii="Times New Roman" w:hAnsi="Times New Roman" w:cs="Times New Roman"/>
          <w:sz w:val="24"/>
          <w:szCs w:val="24"/>
        </w:rPr>
        <w:tab/>
      </w:r>
      <w:r>
        <w:rPr>
          <w:rFonts w:hint="default" w:ascii="Times New Roman" w:hAnsi="Times New Roman" w:cs="Times New Roman"/>
          <w:sz w:val="24"/>
          <w:szCs w:val="24"/>
        </w:rPr>
        <w:t xml:space="preserve">                    0.8</w:t>
      </w:r>
      <w:r>
        <w:rPr>
          <w:rFonts w:hint="default" w:ascii="Times New Roman" w:hAnsi="Times New Roman" w:cs="Times New Roman"/>
          <w:sz w:val="24"/>
          <w:szCs w:val="24"/>
        </w:rPr>
        <w:tab/>
      </w:r>
      <w:r>
        <w:rPr>
          <w:rFonts w:hint="default" w:ascii="Times New Roman" w:hAnsi="Times New Roman" w:cs="Times New Roman"/>
          <w:sz w:val="24"/>
          <w:szCs w:val="24"/>
        </w:rPr>
        <w:t xml:space="preserve">     0.47%</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Q‑70</w:t>
      </w:r>
      <w:r>
        <w:rPr>
          <w:rFonts w:hint="default" w:ascii="Times New Roman" w:hAnsi="Times New Roman" w:cs="Times New Roman"/>
          <w:sz w:val="24"/>
          <w:szCs w:val="24"/>
        </w:rPr>
        <w:tab/>
      </w:r>
      <w:r>
        <w:rPr>
          <w:rFonts w:hint="default" w:ascii="Times New Roman" w:hAnsi="Times New Roman" w:cs="Times New Roman"/>
          <w:sz w:val="24"/>
          <w:szCs w:val="24"/>
        </w:rPr>
        <w:t xml:space="preserve">           69.89</w:t>
      </w:r>
      <w:r>
        <w:rPr>
          <w:rFonts w:hint="default" w:ascii="Times New Roman" w:hAnsi="Times New Roman" w:cs="Times New Roman"/>
          <w:sz w:val="24"/>
          <w:szCs w:val="24"/>
        </w:rPr>
        <w:tab/>
      </w:r>
      <w:r>
        <w:rPr>
          <w:rFonts w:hint="default" w:ascii="Times New Roman" w:hAnsi="Times New Roman" w:cs="Times New Roman"/>
          <w:sz w:val="24"/>
          <w:szCs w:val="24"/>
        </w:rPr>
        <w:t xml:space="preserve">         1.24</w:t>
      </w:r>
      <w:r>
        <w:rPr>
          <w:rFonts w:hint="default" w:ascii="Times New Roman" w:hAnsi="Times New Roman" w:cs="Times New Roman"/>
          <w:sz w:val="24"/>
          <w:szCs w:val="24"/>
        </w:rPr>
        <w:tab/>
      </w:r>
      <w:r>
        <w:rPr>
          <w:rFonts w:hint="default" w:ascii="Times New Roman" w:hAnsi="Times New Roman" w:cs="Times New Roman"/>
          <w:sz w:val="24"/>
          <w:szCs w:val="24"/>
        </w:rPr>
        <w:t>1.77%</w:t>
      </w:r>
      <w:r>
        <w:rPr>
          <w:rFonts w:hint="default" w:ascii="Times New Roman" w:hAnsi="Times New Roman" w:cs="Times New Roman"/>
          <w:sz w:val="24"/>
          <w:szCs w:val="24"/>
        </w:rPr>
        <w:tab/>
      </w:r>
      <w:r>
        <w:rPr>
          <w:rFonts w:hint="default" w:ascii="Times New Roman" w:hAnsi="Times New Roman" w:cs="Times New Roman"/>
          <w:sz w:val="24"/>
          <w:szCs w:val="24"/>
        </w:rPr>
        <w:t xml:space="preserve">               169</w:t>
      </w:r>
      <w:r>
        <w:rPr>
          <w:rFonts w:hint="default" w:ascii="Times New Roman" w:hAnsi="Times New Roman" w:cs="Times New Roman"/>
          <w:sz w:val="24"/>
          <w:szCs w:val="24"/>
        </w:rPr>
        <w:tab/>
      </w:r>
      <w:r>
        <w:rPr>
          <w:rFonts w:hint="default" w:ascii="Times New Roman" w:hAnsi="Times New Roman" w:cs="Times New Roman"/>
          <w:sz w:val="24"/>
          <w:szCs w:val="24"/>
        </w:rPr>
        <w:t xml:space="preserve">                    0.9</w:t>
      </w:r>
      <w:r>
        <w:rPr>
          <w:rFonts w:hint="default" w:ascii="Times New Roman" w:hAnsi="Times New Roman" w:cs="Times New Roman"/>
          <w:sz w:val="24"/>
          <w:szCs w:val="24"/>
        </w:rPr>
        <w:tab/>
      </w:r>
      <w:r>
        <w:rPr>
          <w:rFonts w:hint="default" w:ascii="Times New Roman" w:hAnsi="Times New Roman" w:cs="Times New Roman"/>
          <w:sz w:val="24"/>
          <w:szCs w:val="24"/>
        </w:rPr>
        <w:t xml:space="preserve">    0.53%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Q‑76</w:t>
      </w:r>
      <w:r>
        <w:rPr>
          <w:rFonts w:hint="default" w:ascii="Times New Roman" w:hAnsi="Times New Roman" w:cs="Times New Roman"/>
          <w:sz w:val="24"/>
          <w:szCs w:val="24"/>
        </w:rPr>
        <w:tab/>
      </w:r>
      <w:r>
        <w:rPr>
          <w:rFonts w:hint="default" w:ascii="Times New Roman" w:hAnsi="Times New Roman" w:cs="Times New Roman"/>
          <w:sz w:val="24"/>
          <w:szCs w:val="24"/>
        </w:rPr>
        <w:t xml:space="preserve">           73.90</w:t>
      </w:r>
      <w:r>
        <w:rPr>
          <w:rFonts w:hint="default" w:ascii="Times New Roman" w:hAnsi="Times New Roman" w:cs="Times New Roman"/>
          <w:sz w:val="24"/>
          <w:szCs w:val="24"/>
        </w:rPr>
        <w:tab/>
      </w:r>
      <w:r>
        <w:rPr>
          <w:rFonts w:hint="default" w:ascii="Times New Roman" w:hAnsi="Times New Roman" w:cs="Times New Roman"/>
          <w:sz w:val="24"/>
          <w:szCs w:val="24"/>
        </w:rPr>
        <w:t xml:space="preserve">         1.06</w:t>
      </w:r>
      <w:r>
        <w:rPr>
          <w:rFonts w:hint="default" w:ascii="Times New Roman" w:hAnsi="Times New Roman" w:cs="Times New Roman"/>
          <w:sz w:val="24"/>
          <w:szCs w:val="24"/>
        </w:rPr>
        <w:tab/>
      </w:r>
      <w:r>
        <w:rPr>
          <w:rFonts w:hint="default" w:ascii="Times New Roman" w:hAnsi="Times New Roman" w:cs="Times New Roman"/>
          <w:sz w:val="24"/>
          <w:szCs w:val="24"/>
        </w:rPr>
        <w:t>1.43%</w:t>
      </w:r>
      <w:r>
        <w:rPr>
          <w:rFonts w:hint="default" w:ascii="Times New Roman" w:hAnsi="Times New Roman" w:cs="Times New Roman"/>
          <w:sz w:val="24"/>
          <w:szCs w:val="24"/>
        </w:rPr>
        <w:tab/>
      </w:r>
      <w:r>
        <w:rPr>
          <w:rFonts w:hint="default" w:ascii="Times New Roman" w:hAnsi="Times New Roman" w:cs="Times New Roman"/>
          <w:sz w:val="24"/>
          <w:szCs w:val="24"/>
        </w:rPr>
        <w:t xml:space="preserve">               171</w:t>
      </w:r>
      <w:r>
        <w:rPr>
          <w:rFonts w:hint="default" w:ascii="Times New Roman" w:hAnsi="Times New Roman" w:cs="Times New Roman"/>
          <w:sz w:val="24"/>
          <w:szCs w:val="24"/>
        </w:rPr>
        <w:tab/>
      </w:r>
      <w:r>
        <w:rPr>
          <w:rFonts w:hint="default" w:ascii="Times New Roman" w:hAnsi="Times New Roman" w:cs="Times New Roman"/>
          <w:sz w:val="24"/>
          <w:szCs w:val="24"/>
        </w:rPr>
        <w:t xml:space="preserve">                    0.8</w:t>
      </w:r>
      <w:r>
        <w:rPr>
          <w:rFonts w:hint="default" w:ascii="Times New Roman" w:hAnsi="Times New Roman" w:cs="Times New Roman"/>
          <w:sz w:val="24"/>
          <w:szCs w:val="24"/>
        </w:rPr>
        <w:tab/>
      </w:r>
      <w:r>
        <w:rPr>
          <w:rFonts w:hint="default" w:ascii="Times New Roman" w:hAnsi="Times New Roman" w:cs="Times New Roman"/>
          <w:sz w:val="24"/>
          <w:szCs w:val="24"/>
        </w:rPr>
        <w:t xml:space="preserve">    0.47%</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Q‑82</w:t>
      </w:r>
      <w:r>
        <w:rPr>
          <w:rFonts w:hint="default" w:ascii="Times New Roman" w:hAnsi="Times New Roman" w:cs="Times New Roman"/>
          <w:sz w:val="24"/>
          <w:szCs w:val="24"/>
        </w:rPr>
        <w:tab/>
      </w:r>
      <w:r>
        <w:rPr>
          <w:rFonts w:hint="default" w:ascii="Times New Roman" w:hAnsi="Times New Roman" w:cs="Times New Roman"/>
          <w:sz w:val="24"/>
          <w:szCs w:val="24"/>
        </w:rPr>
        <w:t xml:space="preserve">           80.60</w:t>
      </w:r>
      <w:r>
        <w:rPr>
          <w:rFonts w:hint="default" w:ascii="Times New Roman" w:hAnsi="Times New Roman" w:cs="Times New Roman"/>
          <w:sz w:val="24"/>
          <w:szCs w:val="24"/>
        </w:rPr>
        <w:tab/>
      </w:r>
      <w:r>
        <w:rPr>
          <w:rFonts w:hint="default" w:ascii="Times New Roman" w:hAnsi="Times New Roman" w:cs="Times New Roman"/>
          <w:sz w:val="24"/>
          <w:szCs w:val="24"/>
        </w:rPr>
        <w:t xml:space="preserve">         0.35       0.43%</w:t>
      </w:r>
      <w:r>
        <w:rPr>
          <w:rFonts w:hint="default" w:ascii="Times New Roman" w:hAnsi="Times New Roman" w:cs="Times New Roman"/>
          <w:sz w:val="24"/>
          <w:szCs w:val="24"/>
        </w:rPr>
        <w:tab/>
      </w:r>
      <w:r>
        <w:rPr>
          <w:rFonts w:hint="default" w:ascii="Times New Roman" w:hAnsi="Times New Roman" w:cs="Times New Roman"/>
          <w:sz w:val="24"/>
          <w:szCs w:val="24"/>
        </w:rPr>
        <w:t xml:space="preserve">               166</w:t>
      </w:r>
      <w:r>
        <w:rPr>
          <w:rFonts w:hint="default" w:ascii="Times New Roman" w:hAnsi="Times New Roman" w:cs="Times New Roman"/>
          <w:sz w:val="24"/>
          <w:szCs w:val="24"/>
        </w:rPr>
        <w:tab/>
      </w:r>
      <w:r>
        <w:rPr>
          <w:rFonts w:hint="default" w:ascii="Times New Roman" w:hAnsi="Times New Roman" w:cs="Times New Roman"/>
          <w:sz w:val="24"/>
          <w:szCs w:val="24"/>
        </w:rPr>
        <w:t xml:space="preserve">                    0.8</w:t>
      </w:r>
      <w:r>
        <w:rPr>
          <w:rFonts w:hint="default" w:ascii="Times New Roman" w:hAnsi="Times New Roman" w:cs="Times New Roman"/>
          <w:sz w:val="24"/>
          <w:szCs w:val="24"/>
        </w:rPr>
        <w:tab/>
      </w:r>
      <w:r>
        <w:rPr>
          <w:rFonts w:hint="default" w:ascii="Times New Roman" w:hAnsi="Times New Roman" w:cs="Times New Roman"/>
          <w:sz w:val="24"/>
          <w:szCs w:val="24"/>
        </w:rPr>
        <w:t xml:space="preserve">    0.48%</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All Q-fragments showed low variability across the 80 size standard wells, with CV% ≤ 1.8% for sizing and CV% ≤ 0.53% for peak height. The slightly higher variability observed for Q-70 and Q-76 sizing (SD 1.24 nt and 1.06 nt) is consistent with their detection as spectral bleed-through signals rather than direct ROX channel measurements (Section 3.2.5).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Signal intensities remained highly stable, confirming consistent detection sensitivity throughout the validation process.</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Run‑to‑Run Stability</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Mean Q-fragment sizes for each run were calculated using 16 wells per run. Run-to-run variation was minimal, with all fragments showing standard deviations of ≤ 0.32 nt, as presented in Table 25. The consistency of instrument performance over time is further supported by the lack of systematic drift.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Although Run 4 showed a slightly lower Q-64 value (61.86 nt) and a higher Q-82 value (81.05 nt), these values remained within the expected range and did not indicate any clear trend.</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25: Run‑specific mean Q‑fragment sizes (nt) across 80 MRC-550 Size Standard wells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Run</w:t>
      </w:r>
      <w:r>
        <w:rPr>
          <w:rFonts w:hint="default" w:ascii="Times New Roman" w:hAnsi="Times New Roman" w:cs="Times New Roman"/>
          <w:sz w:val="24"/>
          <w:szCs w:val="24"/>
        </w:rPr>
        <w:tab/>
      </w:r>
      <w:r>
        <w:rPr>
          <w:rFonts w:hint="default" w:ascii="Times New Roman" w:hAnsi="Times New Roman" w:cs="Times New Roman"/>
          <w:sz w:val="24"/>
          <w:szCs w:val="24"/>
        </w:rPr>
        <w:t xml:space="preserve">                       Q‑64</w:t>
      </w:r>
      <w:r>
        <w:rPr>
          <w:rFonts w:hint="default" w:ascii="Times New Roman" w:hAnsi="Times New Roman" w:cs="Times New Roman"/>
          <w:sz w:val="24"/>
          <w:szCs w:val="24"/>
        </w:rPr>
        <w:tab/>
      </w:r>
      <w:r>
        <w:rPr>
          <w:rFonts w:hint="default" w:ascii="Times New Roman" w:hAnsi="Times New Roman" w:cs="Times New Roman"/>
          <w:sz w:val="24"/>
          <w:szCs w:val="24"/>
        </w:rPr>
        <w:t xml:space="preserve">          Q‑70</w:t>
      </w:r>
      <w:r>
        <w:rPr>
          <w:rFonts w:hint="default" w:ascii="Times New Roman" w:hAnsi="Times New Roman" w:cs="Times New Roman"/>
          <w:sz w:val="24"/>
          <w:szCs w:val="24"/>
        </w:rPr>
        <w:tab/>
      </w:r>
      <w:r>
        <w:rPr>
          <w:rFonts w:hint="default" w:ascii="Times New Roman" w:hAnsi="Times New Roman" w:cs="Times New Roman"/>
          <w:sz w:val="24"/>
          <w:szCs w:val="24"/>
        </w:rPr>
        <w:t xml:space="preserve">      Q‑76</w:t>
      </w:r>
      <w:r>
        <w:rPr>
          <w:rFonts w:hint="default" w:ascii="Times New Roman" w:hAnsi="Times New Roman" w:cs="Times New Roman"/>
          <w:sz w:val="24"/>
          <w:szCs w:val="24"/>
        </w:rPr>
        <w:tab/>
      </w:r>
      <w:r>
        <w:rPr>
          <w:rFonts w:hint="default" w:ascii="Times New Roman" w:hAnsi="Times New Roman" w:cs="Times New Roman"/>
          <w:sz w:val="24"/>
          <w:szCs w:val="24"/>
        </w:rPr>
        <w:t xml:space="preserve">    Q‑82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rPr>
        <w:tab/>
      </w:r>
      <w:r>
        <w:rPr>
          <w:rFonts w:hint="default" w:ascii="Times New Roman" w:hAnsi="Times New Roman" w:cs="Times New Roman"/>
          <w:sz w:val="24"/>
          <w:szCs w:val="24"/>
        </w:rPr>
        <w:t xml:space="preserve">                        62.56</w:t>
      </w:r>
      <w:r>
        <w:rPr>
          <w:rFonts w:hint="default" w:ascii="Times New Roman" w:hAnsi="Times New Roman" w:cs="Times New Roman"/>
          <w:sz w:val="24"/>
          <w:szCs w:val="24"/>
        </w:rPr>
        <w:tab/>
      </w:r>
      <w:r>
        <w:rPr>
          <w:rFonts w:hint="default" w:ascii="Times New Roman" w:hAnsi="Times New Roman" w:cs="Times New Roman"/>
          <w:sz w:val="24"/>
          <w:szCs w:val="24"/>
        </w:rPr>
        <w:t xml:space="preserve">           70.54</w:t>
      </w:r>
      <w:r>
        <w:rPr>
          <w:rFonts w:hint="default" w:ascii="Times New Roman" w:hAnsi="Times New Roman" w:cs="Times New Roman"/>
          <w:sz w:val="24"/>
          <w:szCs w:val="24"/>
        </w:rPr>
        <w:tab/>
      </w:r>
      <w:r>
        <w:rPr>
          <w:rFonts w:hint="default" w:ascii="Times New Roman" w:hAnsi="Times New Roman" w:cs="Times New Roman"/>
          <w:sz w:val="24"/>
          <w:szCs w:val="24"/>
        </w:rPr>
        <w:t xml:space="preserve">       73.29</w:t>
      </w:r>
      <w:r>
        <w:rPr>
          <w:rFonts w:hint="default" w:ascii="Times New Roman" w:hAnsi="Times New Roman" w:cs="Times New Roman"/>
          <w:sz w:val="24"/>
          <w:szCs w:val="24"/>
        </w:rPr>
        <w:tab/>
      </w:r>
      <w:r>
        <w:rPr>
          <w:rFonts w:hint="default" w:ascii="Times New Roman" w:hAnsi="Times New Roman" w:cs="Times New Roman"/>
          <w:sz w:val="24"/>
          <w:szCs w:val="24"/>
        </w:rPr>
        <w:t xml:space="preserve">    80.96</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rPr>
        <w:tab/>
      </w:r>
      <w:r>
        <w:rPr>
          <w:rFonts w:hint="default" w:ascii="Times New Roman" w:hAnsi="Times New Roman" w:cs="Times New Roman"/>
          <w:sz w:val="24"/>
          <w:szCs w:val="24"/>
        </w:rPr>
        <w:t xml:space="preserve">                        62.67</w:t>
      </w:r>
      <w:r>
        <w:rPr>
          <w:rFonts w:hint="default" w:ascii="Times New Roman" w:hAnsi="Times New Roman" w:cs="Times New Roman"/>
          <w:sz w:val="24"/>
          <w:szCs w:val="24"/>
        </w:rPr>
        <w:tab/>
      </w:r>
      <w:r>
        <w:rPr>
          <w:rFonts w:hint="default" w:ascii="Times New Roman" w:hAnsi="Times New Roman" w:cs="Times New Roman"/>
          <w:sz w:val="24"/>
          <w:szCs w:val="24"/>
        </w:rPr>
        <w:t xml:space="preserve">           70.88</w:t>
      </w:r>
      <w:r>
        <w:rPr>
          <w:rFonts w:hint="default" w:ascii="Times New Roman" w:hAnsi="Times New Roman" w:cs="Times New Roman"/>
          <w:sz w:val="24"/>
          <w:szCs w:val="24"/>
        </w:rPr>
        <w:tab/>
      </w:r>
      <w:r>
        <w:rPr>
          <w:rFonts w:hint="default" w:ascii="Times New Roman" w:hAnsi="Times New Roman" w:cs="Times New Roman"/>
          <w:sz w:val="24"/>
          <w:szCs w:val="24"/>
        </w:rPr>
        <w:t xml:space="preserve">       73.22</w:t>
      </w:r>
      <w:r>
        <w:rPr>
          <w:rFonts w:hint="default" w:ascii="Times New Roman" w:hAnsi="Times New Roman" w:cs="Times New Roman"/>
          <w:sz w:val="24"/>
          <w:szCs w:val="24"/>
        </w:rPr>
        <w:tab/>
      </w:r>
      <w:r>
        <w:rPr>
          <w:rFonts w:hint="default" w:ascii="Times New Roman" w:hAnsi="Times New Roman" w:cs="Times New Roman"/>
          <w:sz w:val="24"/>
          <w:szCs w:val="24"/>
        </w:rPr>
        <w:t xml:space="preserve">    80.69</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rPr>
        <w:tab/>
      </w:r>
      <w:r>
        <w:rPr>
          <w:rFonts w:hint="default" w:ascii="Times New Roman" w:hAnsi="Times New Roman" w:cs="Times New Roman"/>
          <w:sz w:val="24"/>
          <w:szCs w:val="24"/>
        </w:rPr>
        <w:t xml:space="preserve">                        62.24</w:t>
      </w:r>
      <w:r>
        <w:rPr>
          <w:rFonts w:hint="default" w:ascii="Times New Roman" w:hAnsi="Times New Roman" w:cs="Times New Roman"/>
          <w:sz w:val="24"/>
          <w:szCs w:val="24"/>
        </w:rPr>
        <w:tab/>
      </w:r>
      <w:r>
        <w:rPr>
          <w:rFonts w:hint="default" w:ascii="Times New Roman" w:hAnsi="Times New Roman" w:cs="Times New Roman"/>
          <w:sz w:val="24"/>
          <w:szCs w:val="24"/>
        </w:rPr>
        <w:t xml:space="preserve">           70.89</w:t>
      </w:r>
      <w:r>
        <w:rPr>
          <w:rFonts w:hint="default" w:ascii="Times New Roman" w:hAnsi="Times New Roman" w:cs="Times New Roman"/>
          <w:sz w:val="24"/>
          <w:szCs w:val="24"/>
        </w:rPr>
        <w:tab/>
      </w:r>
      <w:r>
        <w:rPr>
          <w:rFonts w:hint="default" w:ascii="Times New Roman" w:hAnsi="Times New Roman" w:cs="Times New Roman"/>
          <w:sz w:val="24"/>
          <w:szCs w:val="24"/>
        </w:rPr>
        <w:t xml:space="preserve">       73.25</w:t>
      </w:r>
      <w:r>
        <w:rPr>
          <w:rFonts w:hint="default" w:ascii="Times New Roman" w:hAnsi="Times New Roman" w:cs="Times New Roman"/>
          <w:sz w:val="24"/>
          <w:szCs w:val="24"/>
        </w:rPr>
        <w:tab/>
      </w:r>
      <w:r>
        <w:rPr>
          <w:rFonts w:hint="default" w:ascii="Times New Roman" w:hAnsi="Times New Roman" w:cs="Times New Roman"/>
          <w:sz w:val="24"/>
          <w:szCs w:val="24"/>
        </w:rPr>
        <w:t xml:space="preserve">    80.72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4</w:t>
      </w:r>
      <w:r>
        <w:rPr>
          <w:rFonts w:hint="default" w:ascii="Times New Roman" w:hAnsi="Times New Roman" w:cs="Times New Roman"/>
          <w:sz w:val="24"/>
          <w:szCs w:val="24"/>
        </w:rPr>
        <w:tab/>
      </w:r>
      <w:r>
        <w:rPr>
          <w:rFonts w:hint="default" w:ascii="Times New Roman" w:hAnsi="Times New Roman" w:cs="Times New Roman"/>
          <w:sz w:val="24"/>
          <w:szCs w:val="24"/>
        </w:rPr>
        <w:t xml:space="preserve">                        61.86</w:t>
      </w:r>
      <w:r>
        <w:rPr>
          <w:rFonts w:hint="default" w:ascii="Times New Roman" w:hAnsi="Times New Roman" w:cs="Times New Roman"/>
          <w:sz w:val="24"/>
          <w:szCs w:val="24"/>
        </w:rPr>
        <w:tab/>
      </w:r>
      <w:r>
        <w:rPr>
          <w:rFonts w:hint="default" w:ascii="Times New Roman" w:hAnsi="Times New Roman" w:cs="Times New Roman"/>
          <w:sz w:val="24"/>
          <w:szCs w:val="24"/>
        </w:rPr>
        <w:t xml:space="preserve">           70.86</w:t>
      </w:r>
      <w:r>
        <w:rPr>
          <w:rFonts w:hint="default" w:ascii="Times New Roman" w:hAnsi="Times New Roman" w:cs="Times New Roman"/>
          <w:sz w:val="24"/>
          <w:szCs w:val="24"/>
        </w:rPr>
        <w:tab/>
      </w:r>
      <w:r>
        <w:rPr>
          <w:rFonts w:hint="default" w:ascii="Times New Roman" w:hAnsi="Times New Roman" w:cs="Times New Roman"/>
          <w:sz w:val="24"/>
          <w:szCs w:val="24"/>
        </w:rPr>
        <w:t xml:space="preserve">       73.27</w:t>
      </w:r>
      <w:r>
        <w:rPr>
          <w:rFonts w:hint="default" w:ascii="Times New Roman" w:hAnsi="Times New Roman" w:cs="Times New Roman"/>
          <w:sz w:val="24"/>
          <w:szCs w:val="24"/>
        </w:rPr>
        <w:tab/>
      </w:r>
      <w:r>
        <w:rPr>
          <w:rFonts w:hint="default" w:ascii="Times New Roman" w:hAnsi="Times New Roman" w:cs="Times New Roman"/>
          <w:sz w:val="24"/>
          <w:szCs w:val="24"/>
        </w:rPr>
        <w:t xml:space="preserve">    81.05</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5</w:t>
      </w:r>
      <w:r>
        <w:rPr>
          <w:rFonts w:hint="default" w:ascii="Times New Roman" w:hAnsi="Times New Roman" w:cs="Times New Roman"/>
          <w:sz w:val="24"/>
          <w:szCs w:val="24"/>
        </w:rPr>
        <w:tab/>
      </w:r>
      <w:r>
        <w:rPr>
          <w:rFonts w:hint="default" w:ascii="Times New Roman" w:hAnsi="Times New Roman" w:cs="Times New Roman"/>
          <w:sz w:val="24"/>
          <w:szCs w:val="24"/>
        </w:rPr>
        <w:t xml:space="preserve">                        62.25</w:t>
      </w:r>
      <w:r>
        <w:rPr>
          <w:rFonts w:hint="default" w:ascii="Times New Roman" w:hAnsi="Times New Roman" w:cs="Times New Roman"/>
          <w:sz w:val="24"/>
          <w:szCs w:val="24"/>
        </w:rPr>
        <w:tab/>
      </w:r>
      <w:r>
        <w:rPr>
          <w:rFonts w:hint="default" w:ascii="Times New Roman" w:hAnsi="Times New Roman" w:cs="Times New Roman"/>
          <w:sz w:val="24"/>
          <w:szCs w:val="24"/>
        </w:rPr>
        <w:t xml:space="preserve">           71.02</w:t>
      </w:r>
      <w:r>
        <w:rPr>
          <w:rFonts w:hint="default" w:ascii="Times New Roman" w:hAnsi="Times New Roman" w:cs="Times New Roman"/>
          <w:sz w:val="24"/>
          <w:szCs w:val="24"/>
        </w:rPr>
        <w:tab/>
      </w:r>
      <w:r>
        <w:rPr>
          <w:rFonts w:hint="default" w:ascii="Times New Roman" w:hAnsi="Times New Roman" w:cs="Times New Roman"/>
          <w:sz w:val="24"/>
          <w:szCs w:val="24"/>
        </w:rPr>
        <w:t xml:space="preserve">       73.79</w:t>
      </w:r>
      <w:r>
        <w:rPr>
          <w:rFonts w:hint="default" w:ascii="Times New Roman" w:hAnsi="Times New Roman" w:cs="Times New Roman"/>
          <w:sz w:val="24"/>
          <w:szCs w:val="24"/>
        </w:rPr>
        <w:tab/>
      </w:r>
      <w:r>
        <w:rPr>
          <w:rFonts w:hint="default" w:ascii="Times New Roman" w:hAnsi="Times New Roman" w:cs="Times New Roman"/>
          <w:sz w:val="24"/>
          <w:szCs w:val="24"/>
        </w:rPr>
        <w:t xml:space="preserve">    81.02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SD across runs</w:t>
      </w:r>
      <w:r>
        <w:rPr>
          <w:rFonts w:hint="default" w:ascii="Times New Roman" w:hAnsi="Times New Roman" w:cs="Times New Roman"/>
          <w:sz w:val="24"/>
          <w:szCs w:val="24"/>
        </w:rPr>
        <w:tab/>
      </w:r>
      <w:r>
        <w:rPr>
          <w:rFonts w:hint="default" w:ascii="Times New Roman" w:hAnsi="Times New Roman" w:cs="Times New Roman"/>
          <w:sz w:val="24"/>
          <w:szCs w:val="24"/>
        </w:rPr>
        <w:t xml:space="preserve">             0.30</w:t>
      </w:r>
      <w:r>
        <w:rPr>
          <w:rFonts w:hint="default" w:ascii="Times New Roman" w:hAnsi="Times New Roman" w:cs="Times New Roman"/>
          <w:sz w:val="24"/>
          <w:szCs w:val="24"/>
        </w:rPr>
        <w:tab/>
      </w:r>
      <w:r>
        <w:rPr>
          <w:rFonts w:hint="default" w:ascii="Times New Roman" w:hAnsi="Times New Roman" w:cs="Times New Roman"/>
          <w:sz w:val="24"/>
          <w:szCs w:val="24"/>
        </w:rPr>
        <w:t xml:space="preserve">           0.18</w:t>
      </w:r>
      <w:r>
        <w:rPr>
          <w:rFonts w:hint="default" w:ascii="Times New Roman" w:hAnsi="Times New Roman" w:cs="Times New Roman"/>
          <w:sz w:val="24"/>
          <w:szCs w:val="24"/>
        </w:rPr>
        <w:tab/>
      </w:r>
      <w:r>
        <w:rPr>
          <w:rFonts w:hint="default" w:ascii="Times New Roman" w:hAnsi="Times New Roman" w:cs="Times New Roman"/>
          <w:sz w:val="24"/>
          <w:szCs w:val="24"/>
        </w:rPr>
        <w:t xml:space="preserve">       0.23</w:t>
      </w:r>
      <w:r>
        <w:rPr>
          <w:rFonts w:hint="default" w:ascii="Times New Roman" w:hAnsi="Times New Roman" w:cs="Times New Roman"/>
          <w:sz w:val="24"/>
          <w:szCs w:val="24"/>
        </w:rPr>
        <w:tab/>
      </w:r>
      <w:r>
        <w:rPr>
          <w:rFonts w:hint="default" w:ascii="Times New Roman" w:hAnsi="Times New Roman" w:cs="Times New Roman"/>
          <w:sz w:val="24"/>
          <w:szCs w:val="24"/>
        </w:rPr>
        <w:t xml:space="preserve">    0.16</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Linear Regression Analysis of Drift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Linear regression analysis of the run-specific mean sizes against run number showed no statistically significant drift (p &gt; 0.05) for the Q-fragments. The slope values were close to zero, and the confidence intervals spanned both negative and positive values, indicating no evidence of systematic degradation over the five runs. The results are presented in Table 26.</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26: Linear regression analysis of drift in Q‑fragment sizing</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Parameter</w:t>
      </w:r>
      <w:r>
        <w:rPr>
          <w:rFonts w:hint="default" w:ascii="Times New Roman" w:hAnsi="Times New Roman" w:cs="Times New Roman"/>
          <w:sz w:val="24"/>
          <w:szCs w:val="24"/>
        </w:rPr>
        <w:tab/>
      </w:r>
      <w:r>
        <w:rPr>
          <w:rFonts w:hint="default" w:ascii="Times New Roman" w:hAnsi="Times New Roman" w:cs="Times New Roman"/>
          <w:sz w:val="24"/>
          <w:szCs w:val="24"/>
        </w:rPr>
        <w:t xml:space="preserve">           Q‑64</w:t>
      </w:r>
      <w:r>
        <w:rPr>
          <w:rFonts w:hint="default" w:ascii="Times New Roman" w:hAnsi="Times New Roman" w:cs="Times New Roman"/>
          <w:sz w:val="24"/>
          <w:szCs w:val="24"/>
        </w:rPr>
        <w:tab/>
      </w:r>
      <w:r>
        <w:rPr>
          <w:rFonts w:hint="default" w:ascii="Times New Roman" w:hAnsi="Times New Roman" w:cs="Times New Roman"/>
          <w:sz w:val="24"/>
          <w:szCs w:val="24"/>
        </w:rPr>
        <w:t xml:space="preserve">                    Q‑70</w:t>
      </w:r>
      <w:r>
        <w:rPr>
          <w:rFonts w:hint="default" w:ascii="Times New Roman" w:hAnsi="Times New Roman" w:cs="Times New Roman"/>
          <w:sz w:val="24"/>
          <w:szCs w:val="24"/>
        </w:rPr>
        <w:tab/>
      </w:r>
      <w:r>
        <w:rPr>
          <w:rFonts w:hint="default" w:ascii="Times New Roman" w:hAnsi="Times New Roman" w:cs="Times New Roman"/>
          <w:sz w:val="24"/>
          <w:szCs w:val="24"/>
        </w:rPr>
        <w:t xml:space="preserve">              Q‑76</w:t>
      </w:r>
      <w:r>
        <w:rPr>
          <w:rFonts w:hint="default" w:ascii="Times New Roman" w:hAnsi="Times New Roman" w:cs="Times New Roman"/>
          <w:sz w:val="24"/>
          <w:szCs w:val="24"/>
        </w:rPr>
        <w:tab/>
      </w:r>
      <w:r>
        <w:rPr>
          <w:rFonts w:hint="default" w:ascii="Times New Roman" w:hAnsi="Times New Roman" w:cs="Times New Roman"/>
          <w:sz w:val="24"/>
          <w:szCs w:val="24"/>
        </w:rPr>
        <w:t xml:space="preserve">      Q‑82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Slope (nt/run)</w:t>
      </w:r>
      <w:r>
        <w:rPr>
          <w:rFonts w:hint="default" w:ascii="Times New Roman" w:hAnsi="Times New Roman" w:cs="Times New Roman"/>
          <w:sz w:val="24"/>
          <w:szCs w:val="24"/>
        </w:rPr>
        <w:tab/>
      </w:r>
      <w:r>
        <w:rPr>
          <w:rFonts w:hint="default" w:ascii="Times New Roman" w:hAnsi="Times New Roman" w:cs="Times New Roman"/>
          <w:sz w:val="24"/>
          <w:szCs w:val="24"/>
        </w:rPr>
        <w:t xml:space="preserve">           −0.08</w:t>
      </w:r>
      <w:r>
        <w:rPr>
          <w:rFonts w:hint="default" w:ascii="Times New Roman" w:hAnsi="Times New Roman" w:cs="Times New Roman"/>
          <w:sz w:val="24"/>
          <w:szCs w:val="24"/>
        </w:rPr>
        <w:tab/>
      </w:r>
      <w:r>
        <w:rPr>
          <w:rFonts w:hint="default" w:ascii="Times New Roman" w:hAnsi="Times New Roman" w:cs="Times New Roman"/>
          <w:sz w:val="24"/>
          <w:szCs w:val="24"/>
        </w:rPr>
        <w:t xml:space="preserve">                    +0.08</w:t>
      </w:r>
      <w:r>
        <w:rPr>
          <w:rFonts w:hint="default" w:ascii="Times New Roman" w:hAnsi="Times New Roman" w:cs="Times New Roman"/>
          <w:sz w:val="24"/>
          <w:szCs w:val="24"/>
        </w:rPr>
        <w:tab/>
      </w:r>
      <w:r>
        <w:rPr>
          <w:rFonts w:hint="default" w:ascii="Times New Roman" w:hAnsi="Times New Roman" w:cs="Times New Roman"/>
          <w:sz w:val="24"/>
          <w:szCs w:val="24"/>
        </w:rPr>
        <w:t xml:space="preserve">              +0.10</w:t>
      </w:r>
      <w:r>
        <w:rPr>
          <w:rFonts w:hint="default" w:ascii="Times New Roman" w:hAnsi="Times New Roman" w:cs="Times New Roman"/>
          <w:sz w:val="24"/>
          <w:szCs w:val="24"/>
        </w:rPr>
        <w:tab/>
      </w:r>
      <w:r>
        <w:rPr>
          <w:rFonts w:hint="default" w:ascii="Times New Roman" w:hAnsi="Times New Roman" w:cs="Times New Roman"/>
          <w:sz w:val="24"/>
          <w:szCs w:val="24"/>
        </w:rPr>
        <w:t xml:space="preserve">                  +0.03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95% CI (slope)      (−0.28, +0.12)         (−0.04, +0.20)         (−0.08, +0.28)</w:t>
      </w:r>
      <w:r>
        <w:rPr>
          <w:rFonts w:hint="default" w:ascii="Times New Roman" w:hAnsi="Times New Roman" w:cs="Times New Roman"/>
          <w:sz w:val="24"/>
          <w:szCs w:val="24"/>
        </w:rPr>
        <w:tab/>
      </w:r>
      <w:r>
        <w:rPr>
          <w:rFonts w:hint="default" w:ascii="Times New Roman" w:hAnsi="Times New Roman" w:cs="Times New Roman"/>
          <w:sz w:val="24"/>
          <w:szCs w:val="24"/>
        </w:rPr>
        <w:t xml:space="preserve">    (−0.10, +0.16)</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p‑value</w:t>
      </w:r>
      <w:r>
        <w:rPr>
          <w:rFonts w:hint="default" w:ascii="Times New Roman" w:hAnsi="Times New Roman" w:cs="Times New Roman"/>
          <w:sz w:val="24"/>
          <w:szCs w:val="24"/>
        </w:rPr>
        <w:tab/>
      </w:r>
      <w:r>
        <w:rPr>
          <w:rFonts w:hint="default" w:ascii="Times New Roman" w:hAnsi="Times New Roman" w:cs="Times New Roman"/>
          <w:sz w:val="24"/>
          <w:szCs w:val="24"/>
        </w:rPr>
        <w:t xml:space="preserve">           0.32</w:t>
      </w:r>
      <w:r>
        <w:rPr>
          <w:rFonts w:hint="default" w:ascii="Times New Roman" w:hAnsi="Times New Roman" w:cs="Times New Roman"/>
          <w:sz w:val="24"/>
          <w:szCs w:val="24"/>
        </w:rPr>
        <w:tab/>
      </w:r>
      <w:r>
        <w:rPr>
          <w:rFonts w:hint="default" w:ascii="Times New Roman" w:hAnsi="Times New Roman" w:cs="Times New Roman"/>
          <w:sz w:val="24"/>
          <w:szCs w:val="24"/>
        </w:rPr>
        <w:t xml:space="preserve">                    0.14</w:t>
      </w:r>
      <w:r>
        <w:rPr>
          <w:rFonts w:hint="default" w:ascii="Times New Roman" w:hAnsi="Times New Roman" w:cs="Times New Roman"/>
          <w:sz w:val="24"/>
          <w:szCs w:val="24"/>
        </w:rPr>
        <w:tab/>
      </w:r>
      <w:r>
        <w:rPr>
          <w:rFonts w:hint="default" w:ascii="Times New Roman" w:hAnsi="Times New Roman" w:cs="Times New Roman"/>
          <w:sz w:val="24"/>
          <w:szCs w:val="24"/>
        </w:rPr>
        <w:t xml:space="preserve">              0.21</w:t>
      </w:r>
      <w:r>
        <w:rPr>
          <w:rFonts w:hint="default" w:ascii="Times New Roman" w:hAnsi="Times New Roman" w:cs="Times New Roman"/>
          <w:sz w:val="24"/>
          <w:szCs w:val="24"/>
        </w:rPr>
        <w:tab/>
      </w:r>
      <w:r>
        <w:rPr>
          <w:rFonts w:hint="default" w:ascii="Times New Roman" w:hAnsi="Times New Roman" w:cs="Times New Roman"/>
          <w:sz w:val="24"/>
          <w:szCs w:val="24"/>
        </w:rPr>
        <w:t xml:space="preserve">                  0.56</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Significant drift?</w:t>
      </w:r>
      <w:r>
        <w:rPr>
          <w:rFonts w:hint="default" w:ascii="Times New Roman" w:hAnsi="Times New Roman" w:cs="Times New Roman"/>
          <w:sz w:val="24"/>
          <w:szCs w:val="24"/>
        </w:rPr>
        <w:tab/>
      </w:r>
      <w:r>
        <w:rPr>
          <w:rFonts w:hint="default" w:ascii="Times New Roman" w:hAnsi="Times New Roman" w:cs="Times New Roman"/>
          <w:sz w:val="24"/>
          <w:szCs w:val="24"/>
        </w:rPr>
        <w:t>No</w:t>
      </w:r>
      <w:r>
        <w:rPr>
          <w:rFonts w:hint="default" w:ascii="Times New Roman" w:hAnsi="Times New Roman" w:cs="Times New Roman"/>
          <w:sz w:val="24"/>
          <w:szCs w:val="24"/>
        </w:rPr>
        <w:tab/>
      </w:r>
      <w:r>
        <w:rPr>
          <w:rFonts w:hint="default" w:ascii="Times New Roman" w:hAnsi="Times New Roman" w:cs="Times New Roman"/>
          <w:sz w:val="24"/>
          <w:szCs w:val="24"/>
        </w:rPr>
        <w:t xml:space="preserve">                    No </w:t>
      </w:r>
      <w:r>
        <w:rPr>
          <w:rFonts w:hint="default" w:ascii="Times New Roman" w:hAnsi="Times New Roman" w:cs="Times New Roman"/>
          <w:sz w:val="24"/>
          <w:szCs w:val="24"/>
        </w:rPr>
        <w:tab/>
      </w:r>
      <w:r>
        <w:rPr>
          <w:rFonts w:hint="default" w:ascii="Times New Roman" w:hAnsi="Times New Roman" w:cs="Times New Roman"/>
          <w:sz w:val="24"/>
          <w:szCs w:val="24"/>
        </w:rPr>
        <w:t xml:space="preserve">              No</w:t>
      </w:r>
      <w:r>
        <w:rPr>
          <w:rFonts w:hint="default" w:ascii="Times New Roman" w:hAnsi="Times New Roman" w:cs="Times New Roman"/>
          <w:sz w:val="24"/>
          <w:szCs w:val="24"/>
        </w:rPr>
        <w:tab/>
      </w:r>
      <w:r>
        <w:rPr>
          <w:rFonts w:hint="default" w:ascii="Times New Roman" w:hAnsi="Times New Roman" w:cs="Times New Roman"/>
          <w:sz w:val="24"/>
          <w:szCs w:val="24"/>
        </w:rPr>
        <w:t xml:space="preserve">                  No</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All ruggedness metrics met the pre‑defined acceptance criteria: signal intensity CV% (≤ 0.53%), run‑to‑run sizing SD (≤ 0.32 nt), and no significant drift (p &gt; 0.05). Analysis of the Q-fragment data from the 80 ROX-only (size standard) wells demonstrated that the system is highly rugged.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Across the five analytical runs, signal intensities remained stable (CV% ≤ 0.53%), run-to-run variation was minimal (SD ≤ 0.32 nt), and no statistically significant drift in fragment sizing was observed (p &gt; 0.05). These results confirm that the system maintains consistent performance over time, with no degradation from capillary aging, polymer depletion, or laser fluctuations, making it robust and suitable for clinical aneuploidy detection (CLSI EP05‑Ed4, 2025).</w:t>
      </w:r>
    </w:p>
    <w:p>
      <w:pPr>
        <w:pStyle w:val="49"/>
        <w:numPr>
          <w:ilvl w:val="0"/>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Discussion</w:t>
      </w: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Technical Rigor and Method Validation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study establishes a validated interoperable workflow for either diagnostic or research-based MLPA fragment analysis by successfully adapting the forensic DS‑36 (J6) matrix standard for ROX‑based fragment sizing on the Applied Biosystems 3500xl Genetic Analyzer. Through empirical spectral calibration and channel re-mapping, the study demonstrated that generating a spectral matrix background on the ABI 3500xl genetic analyzer using the DS‑36 matrix standard serves as a valid diagnostic replacement for the proprietary DS‑30 matrix standard typically recommended for MLPA fragment analysis workflows, while offering supply‑chain resilience for laboratories in resource‑limited settings.The repurposing experiment was rigorously designed following the CLSI EP15-A3 guideline for user verification of precision and estimation of bias, and aligns with the ACMG Technical Standards for Clinical Genetics Laboratories.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 xml:space="preserve">Across five independent fragment analysis runs on a 24-capillary array, a total of 120 reaction wells were analyzed: 80 ROX-only control wells (16 per run) for size standard baseline characterization, spectral bleed-through quantification, and linearity assessment across the MRC-550 size standard domains (58–550 nt); and 40 MLPA test wells (8 per run) containing genomic DNA tested with the P095 aneuploidy probemix for assessment of fragment binning performance, inter-sample diagnostic precision, inter-capillary reproducibility, and probe ratio fidelity. After application of quality control criteria, all 40 MLPA test wells (derived from 8 unique amniotic fluid specimens evaluated across 5 runs) and 80 MRC-size standard (ROX-only) capillary wells were retained for final analysis, corresponding to 36 evaluable probes across all probe-specific analyses. The ROX‑to‑FAM spectral bleed‑through of 0.38 ± 0.05% confirms that the DS‑36 matrix standard provides excellent channel separation, establishing it as a highly reliable alternative for both clinical and research applications. This low crosstalk ensures that genuine probe signals can be confidently distinguished from spectral artifacts, a critical requirement for accurate copy‑number variation (CNV) calling in prenatal diagnostics (Armbruster &amp; Pry, 2008). The Limit of Blank (LoB) of 226.2 RFU) and Limit of Detection (LoD = 281.490 RFU) established from 80 MRC-550 size standard (ROX - only) capillary wells following CLSI EP17‑A2 (2012) guidelines provide conservative detection thresholds, with all genuine probe signals exceeding the LoD by a factor of at least 2.5 (with mean signals &gt;11.5×).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data collectively establish a FAM-channel background of</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179</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 30.9 RFU across 80 ROX-only wells, with highly reproducible Q-fragment signals (187–192 RFU mean, CV ≤ 11.9%) and no significant run‑to‑run variation. All genuine probe peaks exceeded the LoD by at least 2.5× (mean &gt;11.5×), demonstrating that background noise is sufficiently low and well controlled to support reliable aneuploidy detection within this interoperable DS‑36/ROX workflow (Armbruster &amp; Pry, 2008; CLSI EP17‑A2, 2012). Probe identity accounted for 99.7% of total sizing variance (σ²_probe = 1.703209 nt²; σ²_residual = 0.004975 nt²), demonstrating that variation arises from true size differences between probes rather than run-to-run noise.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Between-run CV was 2.83%; maximum individual probe CV was 0.076% (DACH1-2, 265 nt), exceeding the conventional 0.90 threshold for “excellent reliability” and confirming that the DS‑36 matrix standard provides stable performance suitable for diagnostic applications (Koo &amp; Li, 2016). A complementary per-observation analysis confirmed this finding at finer granularity: Pearson correlation of per-probe FAM signal height versus per-observation sizing bias across all 1,380 probe observations (32 autosomal + X probes × 40 wells + 4 Y-chromosome probes × 25 male wells) yielded r = -0.041, p = 0.107 (NS). The absence of a significant height–bias association at both the run level (n = 40, r = −0.045, p = 0.781) and the observation level (n = 1,380) provides robust, converging evidence that FAM signal intensity does not corrupt ROX-based size standard performance, confirming the adequacy of the DS-36 spectral matrix correction.</w:t>
      </w: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Q</w:t>
      </w:r>
      <w:r>
        <w:rPr>
          <w:rFonts w:hint="default" w:ascii="Times New Roman" w:hAnsi="Times New Roman" w:cs="Times New Roman"/>
          <w:b/>
          <w:bCs/>
          <w:sz w:val="24"/>
          <w:szCs w:val="24"/>
        </w:rPr>
        <w:t>uality Assurance and Analytical Performance</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analytical performance of the DS‑36/ROX workflow complies with internationally recognized quality assurance standards. Validation was conducted using the P095‑A4 aneuploidy probe mix across five independent runs with 40 MLPA test wells (eight per run) containing genomic DNA samples. All 40 MLPA test wells (8 unique samples × 5 consecutive runs) passed quality control. 36 evaluable probes (36 autosomal + X present in all wells; 4 Y-specific probes evaluated in 25 male wells) yielded 1,380 probe observations. The low Total Error (TE) values, 0.08 for probe ratios and 0.44 nt for fragment sizing, are well below the pre‑defined Total Allowable Error (TEa) thresholds of 0.2 and 1.0 nt, respectively, established in CLSI EP21-Ed3 (2025). This indicates that the combined systematic and random error components are within acceptable limits, ensuring reliable diagnostic interpretation.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rPr>
        <w:t>The Mean Absolute Percentage Error (MAPE) of 0.555% across all 36 probes, with domain‑specific values of 0.555% (short fragments &lt;200 nt), 0.555% (medium fragments 200–400 nt), and 0.555% (long fragments &gt;400 nt), confirms that sizing accuracy is consistent across the analytical range. The slightly higher MAPE for short fragments is consistent with the physical principles of capillary electrophoresis, where smaller fragments are more susceptible to injection‑related variability and matrix interactions (Krebs et al., 2023).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Bland‑Altman analysis of probe ratios revealed a mean bias of +0.01 with 95% limits of agreement from –0.05 to +0.07, and no significant proportional bias (p &gt; 0.05), confirming excellent agreement between observed and expected ratios (Bland &amp; Altman, 1986; Giavarina, 2015).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run‑to‑run stability assessment of Q‑fragments across 80 ROX‑only wells demonstrated minimal variation (SD across runs ≤ 0.30 nt) and no statistically significant drift (p &gt; 0.05 for all fragments). This confirms that the spectral matrix generated by the DS‑36 matrix standard maintains stable spectral calibration over extended use, reducing the frequency of required recalibrations.</w:t>
      </w: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Reagent Supply Chain Resilience and Diagnostic Implications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Global supply chain disruptions have highlighted critical vulnerabilities in the availability of clinical‑grade reagents. Widespread shortages of essential diagnostic materials have been documented, with significant delays for various testing modalities in affected centers (Cornish et al., 2023). Similar disruptions have been reported in Ethiopian public health laboratories, where stock‑outs of specialized reagents compromise laboratory service quality and continuity. Studies on laboratory accreditation in various Ethiopian hospitals have, for example, identified that resource constraints and supply chain fragility pose significant challenges to maintaining quality diagnostic services (Girma et al., 2018; Adane et al., 2019).</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study demonstrates that forensic-grade reagents can serve as reliable contingency alternatives during critical diagnostic reagent shortages. The DS-36 (Dye Set J6) matrix standard is used in high-throughput 6-dye short tandem repeat (STR) multiplex workflows designed for direct reference amplification, as described by Wang et al. (2015). Ludeman et al. (2018) and Green et al. (2021) further support its use with Applied Biosystems 3500-series genetic analyzers in validated forensic workflows.  By leveraging this established infrastructure, transition to an interoperable diagnostic workflow requires only minor laboratory adaptation, specifically local matrix installation and sizing verification. Consequently, this protocol offers a practical solution for maintaining essential clinical diagnostic services during procurement disruptions.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For laboratories facing supply chain disruptions, the ability to leverage reagent interoperability, including the repurposing of high-volume forensic matrix standards for clinical fragment analysis, can bypass prolonged import delays and mitigate the logistical vulnerabilities of single-source clinical diagnostics thereby enabling uninterrupted diagnostic or research services. While the cross-domain adaptation of forensic reagents is a novel laboratory strategy, it directly addresses the supply chain fragility identified by the World Health Organization as a major obstacle to universal health coverage in resource-limited settings (WHO, 2023).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Furthermore, this interoperable approach aligns with the core principles of the WHO Essential Diagnostics List (EDL 3.0), which emphasizes the deployment of robust, quality-assured, and resilient diagnostic technologies to ensure continuous access to essential care, including congenital anomaly detection, despite global procurement hurdles.</w:t>
      </w: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Methodological Innovation and Workflow Integration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successful adaptation of six‑dye forensic chemistry (6‑FAM, VIC, NED, SID, TAZ, LIZ) for diagnostic MLPA analysis demonstrates that the superior spectral separation inherent in forensic dye sets can be leveraged to enhance clinical workflows. Validation studies on advanced 6-dye STR kits have confirmed the versatility and robustness of this dye chemistry for high-throughput capillary electrophoresis platforms (Martin et al., 2014).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Furthermore, the empirical finding that the ROX signal deconvolutes with maximum purity in the SID virtual channel of the DS‑36 matrix standard, rather than the TAZ channel as initially hypothesized, highlights the importance of empirical validation when adapting non‑standard dye configurations. This aligns with established precedents demonstrating that custom CE matrices can provide reliable spectral separation outside of manufacturer-defined boundaries (Cloete et al., 2017). All data processing and normalization was performed within the standardized Coffalyser.Net software environment (www.mrcholland.com, Amsterdam, the Netherlands), which robustly calculated MRC‑550 ROX‑normalized probe ratios with high fragment detection rates (100% for Q‑fragments, 99.8% for target probes).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selection of Dye Set D in Coffalyser.Net, based on the empirical SID‑channel mapping, enabled seamless integration of the DS‑36 matrix standard into the existing MLPA analysis pipeline without requiring custom software modifications. This framework has potential applications extending beyond MLPA to other genetic analysis platforms, including Sanger sequencing (BigDye v3.1 J6 matrices), microsatellite instability testing (6‑dye MSI panels), and next‑generation sequencing fragment quality control (SMRTbell libraries), because these platforms also rely on the ABI 3500xl or similar CE instruments and would benefit from similar interoperability approaches.</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pStyle w:val="49"/>
        <w:numPr>
          <w:ilvl w:val="1"/>
          <w:numId w:val="8"/>
        </w:numPr>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Generalizability of the DS-36/MRC-550 Workflow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validated workflow is not specific to SALSA MLPA P095-A4 Aneuploidy. Because all MRC Holland SALSA MLPA probe mixes share the same FAM+ROX fluorophore chemistry, the DS-36 spectral matrix and MRC-550 size standard are compatible with the full SALSA MLPA catalogue, that are used to detect and characterize various genetic syndromes attributed to CNV. Validation of each new probe mix requires only confirmation of fragment binning accuracy; the spectral calibration step is reusable without recalibration, further reducing implementation cost and instrument downtime. This single-calibration generalizability is a key operational advantage for resource-constrained settings. Building upon this successful technical validation, we plan to extend this DS-36/ROX protocol to other critical diagnostic panels, specifically the SALSA MLPA P070 Subtelomeres and P245 Microdeletion Syndromes probe mixes, once the full clinical diagnostic phase of the parent study commences at an alternative sequencing facility.</w:t>
      </w: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Scientific basis for broad applicability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Spectral compatibility is determined by dye physics, not probe content: the DS-36 generated spectral matrix corrects emission spectra of FAM and ROX, which are fixed physicochemical properties independent of the DNA fragments to which they are attached (Durney et al., 2015; Cloete et al., 2017). The MRC-550 size standard spans 100-500 nt, encompassing the sizing range of all current SALSA MLPA probe mixes (~88-500 nt). The present study validated the sizing accuracy under the DS-36 (J6) generated spectral matrix across 88-454 nt size range (R² = 0.999472; max probe CV = 0.076%), covering the dynamic range relevant to all published MLPA probe mix designs.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Furthermore, Cloete et al. (2017) established that a custom CE matrix validated for one application provides reliable spectral separation for other assays using the same dye combination, a principle the present data extend to forensic to clinical cross-domain adaptation. The following recommended confirmatory steps are suggested before extending this workflow to other SALSA MLPA probe mixes: </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pStyle w:val="4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Verify ROX FRSS = 100% in ≥1 test run with the new probe mix. This confirms the MRC-550 size standard is correctly detected under the DS-36 matrix calibration.</w:t>
      </w:r>
    </w:p>
    <w:p>
      <w:pPr>
        <w:pStyle w:val="4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Confirm all expected probe amplicons are detected at correct nominal sizes (within ±2 nt bin tolerance). This verifies the FAM channel is accurately sized against the ROX reference ladder. </w:t>
      </w:r>
    </w:p>
    <w:p>
      <w:pPr>
        <w:pStyle w:val="4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Confirm no unexpected pull-up artefacts in the FAM channel attributable to the new probe size distribution. This step rules out matrix-specific spectral interference at new fragment positions.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three steps require no additional matrix calibration work; they are routine quality control steps for any MLPA run and add no incremental instrument cost (Jankowski et al., 2008; MRC Holland, 2025). The validated approach for empirical channel mapping and matrix adaptation offers a template for reagent interoperability across multiple diagnostic applications, thereby reducing dependency on single‑vendor supply chains and mitigating documented reagent shortages in routine diagnostics (Girma et al., 2018; Cornish et al., 2023). Under ISO 15189 accreditation frameworks, the ability to validate and implement laboratory‑developed tests using non‑proprietary consumables or reagents is essential for maintaining service continuity (Adane et al., 2019; Vanstapel et al., 2023).</w:t>
      </w: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Global Health Equity and Implementation Considerations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Ethiopia and similar countries with resource limited settings (LMIC), the ability to substitute forensic reagents for clinical‑grade materials addresses critical barriers to equitable access to genetic diagnostics. Studies on laboratory quality management in Ethiopian hospitals have highlighted the challenges of maintaining accreditation standards under resource constraints (Girma et al., 2018; Adane et al., 2019; Sisay et al., 2015).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Research assessing the outcomes of the Strengthening Laboratory Management Towards Accreditation (SLMTA) program in Addis Ababa, Ethiopia demonstrated that structured quality improvement interventions can enhance laboratory systems, but also revealed persistent challenges related to reagent supply continuity and equipment maintenance (Sisay et al., 2015). </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World Health Organization has identified supply chain fragility as a major obstacle to achieving universal health coverage, particularly for specialized genetic tests where per‑test costs and import dependencies disproportionately impact resource‑limited settings (WHO, 2023).</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synthetic validation model employed in this study, using male samples (46,XY) as hemizygous deletions (ratio ≈ 0.5) and female samples (46,XX) as diploid references (ratio ≈ 1.0), demonstrates that the DS‑36/MRC-550 ROX workflow achieves clinically adequate dosage resolution without requiring scarce patient samples with known pathogenic CNVs. This approach provides a template for validation in settings where access to characterized positive controls may be limited. Finally, broader adoption could be supported through partnerships with forensic suppliers, open sharing of matrix files and capacity‑building aligned with ISO 15189, which would further reduce testing backlogs and reagent costs in resource‑limited settings.</w:t>
      </w:r>
    </w:p>
    <w:p>
      <w:pPr>
        <w:pStyle w:val="49"/>
        <w:numPr>
          <w:ilvl w:val="1"/>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 Limitations and Future Directions</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Limitations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following four limitations of this study should be acknowledged:</w:t>
      </w:r>
    </w:p>
    <w:p>
      <w:pPr>
        <w:pStyle w:val="49"/>
        <w:numPr>
          <w:ilvl w:val="0"/>
          <w:numId w:val="12"/>
        </w:num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Study design and precision: Eight (8) unique DNA samples (5M/3F) were each analyzed across 5 consecutive run days using a 24-capillary ABI 3500xl array (40 total MLPA test wells, 80 size standard wells or ROX-only wells). Between-run reproducibility is the primary precision metric. Within a single run, the 8 MLPA capillaries contain 8 distinct samples, i.e., within-run technical replicate precision on the same sample was not assessed.</w:t>
      </w:r>
    </w:p>
    <w:p>
      <w:pPr>
        <w:pStyle w:val="49"/>
        <w:numPr>
          <w:ilvl w:val="0"/>
          <w:numId w:val="12"/>
        </w:num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Absence of reference-normalized CNV confirmation: Because external reference samples were omitted, definitive clinical copy number quantification could not be performed for the autosomes. No positive aneuploidy samples (trisomy 13, 18, 21, sex chromosome abnormalities) were included; clinical sensitivity and specificity cannot be assessed from this dataset.</w:t>
      </w:r>
    </w:p>
    <w:p>
      <w:pPr>
        <w:pStyle w:val="4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Single operator and single instrument: A single reagent lot (A4-0422-A4) and a single ABI 3500xl instrument were used for all analyses. Lot-to-lot variation in probe efficiency and inter-instrument variation (e.g., 3130xl, SeqStudio, 3730xl) were not assessed. Furthermore, all MLPA reactions, electrophoresis runs, and data processing were performed by a single operator; therefore, inter-operator reproducibility was not evaluated.</w:t>
      </w:r>
    </w:p>
    <w:p>
      <w:pPr>
        <w:pStyle w:val="49"/>
        <w:numPr>
          <w:ilvl w:val="2"/>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Future directions</w:t>
      </w:r>
    </w:p>
    <w:p>
      <w:pPr>
        <w:tabs>
          <w:tab w:val="left" w:pos="-27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following future directions are proposed to address the limitations of this study and further expand the clinical utility of this workflow:</w:t>
      </w:r>
    </w:p>
    <w:p>
      <w:pPr>
        <w:pStyle w:val="49"/>
        <w:numPr>
          <w:ilvl w:val="5"/>
          <w:numId w:val="5"/>
        </w:numPr>
        <w:tabs>
          <w:tab w:val="left" w:pos="-27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Multicenter validation studies across diverse instrument platforms, reagent lots, and laboratory settings to confirm generalizability and inter-operator reproducibility.</w:t>
      </w:r>
    </w:p>
    <w:p>
      <w:pPr>
        <w:pStyle w:val="49"/>
        <w:numPr>
          <w:ilvl w:val="5"/>
          <w:numId w:val="5"/>
        </w:numPr>
        <w:tabs>
          <w:tab w:val="left" w:pos="-27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Cost-effectiveness modeling to support national health technology assessments and demonstrate the economic impact of supply-chain resilience in resource-limited settings.</w:t>
      </w:r>
    </w:p>
    <w:p>
      <w:pPr>
        <w:pStyle w:val="49"/>
        <w:numPr>
          <w:ilvl w:val="5"/>
          <w:numId w:val="5"/>
        </w:numPr>
        <w:tabs>
          <w:tab w:val="left" w:pos="-270"/>
        </w:tabs>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Expanded validation using characterized positive controls with known pathogenic CNVs to establish definitive clinical diagnostic sensitivity and specificity.</w:t>
      </w:r>
    </w:p>
    <w:p>
      <w:pPr>
        <w:pStyle w:val="49"/>
        <w:numPr>
          <w:ilvl w:val="0"/>
          <w:numId w:val="8"/>
        </w:num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Conclusion</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validated DS‑36 matrix standard/MRC-550 ROX Size Standard workflow eliminates dependency on proprietary spectral calibration dye sets for MLPA fragment analysis, delivering diagnostic validity with added supply‑chain resilience. Through empirical SID‑channel mapping, comprehensive validation across five independent runs (120 total wells), and rigorous statistical analysis following CLSI and ACMG guidelines, we have demonstrated:</w:t>
      </w:r>
    </w:p>
    <w:p>
      <w:pPr>
        <w:pStyle w:val="4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rPr>
        <w:t>Systematic positive sizing bias (+1.141 nt, mean within-probe SD 0.058 nt) driven by expected capillary electrophoresis dye physics.</w:t>
      </w:r>
    </w:p>
    <w:p>
      <w:pPr>
        <w:pStyle w:val="4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Excellent sizing linearity (R² = 0.9994) and sizing precision across all runs.</w:t>
      </w:r>
    </w:p>
    <w:p>
      <w:pPr>
        <w:pStyle w:val="4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statistically significant FAM-to-ROX matrix bleed-through (observation-level r = -0.041, p = 0.107), confirming distinct virtual channel deconvolution.</w:t>
      </w:r>
    </w:p>
    <w:p>
      <w:pPr>
        <w:pStyle w:val="4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Robust signal fidelity with the minimum probe signal (689 RFU) remaining well above the established CLSI EP17-A2 (2012) Limit of Detection (277.7 RFU).</w:t>
      </w:r>
    </w:p>
    <w:p>
      <w:pPr>
        <w:pStyle w:val="4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Stable performance across runs with no significant run-order drift (p = 0.82).</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An exhaustive ledger of all baseline validation parameters, performance thresholds, and statistical significance testing is provided in Supplementary Table S5. Originating from a response to reagent supply challenges and refined through empirical optimization, this approach equips diagnostic laboratories to navigate supply chain volatility while maintaining the high standards required for diagnostic genetic testing.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workflow ensures equitable access to genetic services amid accidental supply disruption risks, with particular relevance for resource‑limited settings where procurement barriers disproportionately impact diagnostic or research capacity. By demonstrating that forensic‑grade reagents can be systematically validated for diagnostic applications, this study provides a model for innovation under resource constraints, ensuring that essential diagnostic services remain available despite local or global supply chain disruptions.</w:t>
      </w: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Acknowledgements: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authors gratefully acknowledge Professor Gurja Belay and Dr. Helen Nigussie (Associate Professor) from the Department of Microbial Sciences and Genetics, School of Biological Sciences, College of Natural and Computational Sciences, Addis Ababa University, for their invaluable guidance, mentorship, and support during the experimental process.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We also extend our sincere appreciation to the Institutional Review Board of the College of Health Sciences, Addis Ababa University, for granting the ethical approval for the larger parent study from which the samples and data for this technical validation were derived. We sincerely thank MRC Holland (Amsterdam, the Netherlands) for generously donating the SALSA MLPA reagents used in this study. We are also grateful to the Ethiopian Forensic Institute for supplying the DS-36 matrix standard. Finally, we acknowledge the Ethiopian Public Health Institute (EPHI) for providing the laboratory infrastructure and technical facilities necessary to conduct this research.</w:t>
      </w:r>
    </w:p>
    <w:p>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Funding: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work was conducted as part of an academic PhD research project at Addis Ababa University. The study was supported by in-kind reagent donations from MRC Holland (Amsterdam, the Netherlands) and was collaboratively conducted with the Ethiopian Public Health Institute. The project did not receive any specific financial grant from funding agencies in the public, commercial, or not-for-profit sectors.</w:t>
      </w:r>
    </w:p>
    <w:p>
      <w:pPr>
        <w:spacing w:line="360" w:lineRule="auto"/>
        <w:jc w:val="both"/>
        <w:rPr>
          <w:rFonts w:hint="default" w:ascii="Times New Roman" w:hAnsi="Times New Roman" w:cs="Times New Roman"/>
          <w:b/>
          <w:sz w:val="24"/>
          <w:szCs w:val="24"/>
        </w:rPr>
      </w:pPr>
      <w:r>
        <w:rPr>
          <w:rFonts w:hint="default" w:ascii="Times New Roman" w:hAnsi="Times New Roman" w:cs="Times New Roman"/>
          <w:sz w:val="24"/>
          <w:szCs w:val="24"/>
        </w:rPr>
        <w:t>Author Contributions:</w:t>
      </w:r>
    </w:p>
    <w:p>
      <w:pPr>
        <w:pStyle w:val="49"/>
        <w:numPr>
          <w:ilvl w:val="0"/>
          <w:numId w:val="1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Benyam Zenebe fully designed the study, conducted the experiments and data analysis, and wrote the original draft. </w:t>
      </w:r>
    </w:p>
    <w:p>
      <w:pPr>
        <w:pStyle w:val="49"/>
        <w:numPr>
          <w:ilvl w:val="0"/>
          <w:numId w:val="1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Gadissa Gutema provided essential technical expertise and laboratory infrastructure at the Ethiopian Public Health Institute, and contributed to the review and editing of the manuscript.</w:t>
      </w:r>
    </w:p>
    <w:p>
      <w:pPr>
        <w:pStyle w:val="49"/>
        <w:numPr>
          <w:ilvl w:val="0"/>
          <w:numId w:val="1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Prof. Gurja Belay and Dr. Helen Nigussie (Assoc. Prof.) supervised the research, contributed to the conceptualization, and critically reviewed the manuscript. All authors have read and approved the final version.</w:t>
      </w:r>
    </w:p>
    <w:p>
      <w:pPr>
        <w:spacing w:line="360" w:lineRule="auto"/>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Conflict of Interest:</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authors declare no competing financial interests. This validation of the DS-36 matrix standard for MLPA fragment analysis was conducted independently at Addis Ababa University and is not endorsed by the instrument or reagent manufacturers. No financial funding was received from instrument or reagent manufacturers for this study.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authors have no financial or non-financial relationships with any companies whose products or services are related to the subject matter of this validation.</w:t>
      </w:r>
    </w:p>
    <w:p>
      <w:pPr>
        <w:spacing w:line="360" w:lineRule="auto"/>
        <w:jc w:val="both"/>
        <w:rPr>
          <w:rFonts w:hint="default" w:ascii="Times New Roman" w:hAnsi="Times New Roman" w:cs="Times New Roman"/>
          <w:b/>
          <w:sz w:val="24"/>
          <w:szCs w:val="24"/>
        </w:rPr>
      </w:pPr>
      <w:r>
        <w:rPr>
          <w:rFonts w:hint="default" w:ascii="Times New Roman" w:hAnsi="Times New Roman" w:cs="Times New Roman"/>
          <w:b/>
          <w:bCs/>
          <w:sz w:val="24"/>
          <w:szCs w:val="24"/>
        </w:rPr>
        <w:t>Data Availability:</w:t>
      </w:r>
    </w:p>
    <w:p>
      <w:pPr>
        <w:spacing w:line="360" w:lineRule="auto"/>
        <w:jc w:val="both"/>
        <w:rPr>
          <w:rFonts w:hint="default" w:ascii="Times New Roman" w:hAnsi="Times New Roman" w:cs="Times New Roman"/>
          <w:b/>
          <w:color w:val="C00000"/>
          <w:sz w:val="24"/>
          <w:szCs w:val="24"/>
        </w:rPr>
      </w:pPr>
      <w:r>
        <w:rPr>
          <w:rFonts w:hint="default" w:ascii="Times New Roman" w:hAnsi="Times New Roman" w:cs="Times New Roman"/>
        </w:rPr>
        <w:t>Data Availability Statement: The supplementary datasets, analysis tables, computational scripts, and figures generated during this study are uploaded separately to the journal as supplementary materials and are also fully available in the project GitHub repository.</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Corresponding author contact: Benyam Zenebe, Email: benyam.zenebe@aau.edu.et, ORCID ID: 0009-0000-6838-2832.</w:t>
      </w:r>
    </w:p>
    <w:p>
      <w:pPr>
        <w:spacing w:line="360" w:lineRule="auto"/>
        <w:jc w:val="both"/>
        <w:rPr>
          <w:rFonts w:hint="default" w:ascii="Times New Roman" w:hAnsi="Times New Roman" w:cs="Times New Roman"/>
          <w:b/>
          <w:color w:val="FF0000"/>
          <w:sz w:val="24"/>
          <w:szCs w:val="24"/>
        </w:rPr>
      </w:pPr>
      <w:r>
        <w:rPr>
          <w:rFonts w:hint="default" w:ascii="Times New Roman" w:hAnsi="Times New Roman" w:cs="Times New Roman"/>
          <w:b/>
          <w:bCs/>
          <w:sz w:val="24"/>
          <w:szCs w:val="24"/>
        </w:rPr>
        <w:t>Ethical Declarations:</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technical validation study is part of a broader PhD research project approved by the Institutional Review Board of the College of Health Sciences, Addis Ababa University (Protocol No. 069/23/Extr’, approved on May 29, 2025). The genomic DNA samples utilized in this study were sourced from a larger, previously approved parent study, for which all participants had already provided written informed consent for genetic research. Specifically, the dataset comprised anonymized amniotic fluid specimens.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Following the successful data acquisition for an initial pilot cohort, unforeseen instrument malfunctions halted further processing, preventing the inclusion of reference samples required for clinical reporting. Consequently, the raw data from these initial specimens were ethically repurposed to validate an alternative, resilient analytical workflow. This ensured that the collected clinical material was not wasted, but rather contributed to establishing a sustainable diagnostic framework for future patients.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this specific technical validation, only leftover, anonymized DNA samples were used, and no new invasive procedures were performed. All samples were labeled with unique codes, and the key linking these codes to personal data is securely stored at the source hospitals, accessible only to authorized clinical staff. This validation work posed no additional risk to the participants.</w:t>
      </w:r>
    </w:p>
    <w:p>
      <w:pPr>
        <w:spacing w:line="360" w:lineRule="auto"/>
        <w:rPr>
          <w:rFonts w:hint="default" w:ascii="Times New Roman" w:hAnsi="Times New Roman" w:cs="Times New Roman"/>
          <w:b/>
          <w:sz w:val="24"/>
          <w:szCs w:val="24"/>
        </w:rPr>
      </w:pPr>
      <w:r>
        <w:rPr>
          <w:rFonts w:hint="default" w:ascii="Times New Roman" w:hAnsi="Times New Roman" w:cs="Times New Roman"/>
          <w:b/>
          <w:bCs/>
          <w:sz w:val="24"/>
          <w:szCs w:val="24"/>
        </w:rPr>
        <w:t>Use of Artificial Intelligence:</w:t>
      </w:r>
      <w:r>
        <w:rPr>
          <w:rFonts w:hint="default" w:ascii="Times New Roman" w:hAnsi="Times New Roman" w:cs="Times New Roman"/>
          <w:sz w:val="24"/>
          <w:szCs w:val="24"/>
        </w:rPr>
        <w:t xml:space="preserve">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During the preparation of this work, the authors utilized artificial intelligence (AI) tools to assist in drafting the custom Python algorithms (Supplementary Files S1-S5) used for the competitive nearest-neighbor fragment assignment, statistical analysis, figure generation, and table compilation, as well as for language polishing and structural editing of the manuscript. Following the use of these tools, the authors rigorously reviewed, modified, and empirically validated the code and all mathematical outputs against the raw capillary electrophoresis data. The authors take full and final responsibility for the accuracy, integrity, and scientific validity of the algorithms and the published results.</w:t>
      </w: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rPr>
          <w:rFonts w:hint="default" w:ascii="Times New Roman" w:hAnsi="Times New Roman" w:cs="Times New Roman"/>
          <w:sz w:val="24"/>
          <w:szCs w:val="24"/>
        </w:rPr>
      </w:pPr>
      <w:bookmarkStart w:id="0" w:name="_GoBack"/>
      <w:bookmarkEnd w:id="0"/>
    </w:p>
    <w:p>
      <w:pPr>
        <w:rPr>
          <w:rFonts w:hint="default" w:ascii="Times New Roman" w:hAnsi="Times New Roman" w:cs="Times New Roman"/>
          <w:sz w:val="24"/>
          <w:szCs w:val="24"/>
        </w:rPr>
      </w:pPr>
    </w:p>
    <w:p>
      <w:pPr>
        <w:rPr>
          <w:rFonts w:hint="default" w:ascii="Times New Roman" w:hAnsi="Times New Roman" w:cs="Times New Roman"/>
          <w:sz w:val="24"/>
          <w:szCs w:val="24"/>
        </w:rPr>
      </w:pPr>
    </w:p>
    <w:p>
      <w:pPr>
        <w:tabs>
          <w:tab w:val="left" w:pos="0"/>
        </w:tabs>
        <w:spacing w:line="360" w:lineRule="auto"/>
        <w:jc w:val="both"/>
        <w:rPr>
          <w:rFonts w:hint="default" w:ascii="Times New Roman" w:hAnsi="Times New Roman" w:cs="Times New Roman"/>
          <w:b/>
          <w:color w:val="FF0000"/>
          <w:sz w:val="24"/>
          <w:szCs w:val="24"/>
        </w:rPr>
      </w:pPr>
      <w:r>
        <w:rPr>
          <w:rFonts w:hint="default" w:ascii="Times New Roman" w:hAnsi="Times New Roman" w:cs="Times New Roman"/>
          <w:sz w:val="24"/>
          <w:szCs w:val="24"/>
        </w:rPr>
        <w:t>References</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Adane, K., Girma, M., &amp; Deress, T. (2019). How does ISO 15189 laboratory accreditation support the delivery of healthcare in Ethiopia? A systematic review. Ethiopian Journal of Health Sciences. 29 (2):259–264.</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Armbruster, D. A., &amp; Pry, T. (2008). Limit of blank, limit of detection and limit of quantitation. The Clinical Biochemist Reviews. 29 (Suppl 1):S49–S52.</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Bland, J. M., &amp; Altman, D. G. (1986). Statistical methods for assessing agreement between two methods of clinical measurement. The Lancet. 327 (8476):307–310. </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Boormans, E. M., Birnie, E., Oepkes, D., Galjaard, R. J., Schuring-Blom, G. H., &amp; van Lith, J. M. (2010). Comparison of multiplex ligation-dependent probe amplification and karyotyping in prenatal diagnosis. Obstetrics &amp; Gynecology. 115 (2 Part 1):297–303.</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Buckingham, L. (2019). Molecular diagnostics: Fundamentals, methods and clinical applications. FA Davis.</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Butler, J. M. (2012). Advanced topics in forensic DNA typing: Methodology. Elsevier Academic Press.</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Clinical and Laboratory Standards Institute. (2012). Evaluation of detection capability for clinical laboratory measurement procedures (2nd ed., CLSI Guideline EP17-A2). Clinical and Laboratory Standards Institute.</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Clinical and Laboratory Standards Institute. (2014). User verification of precision and estimation of bias; Approved guideline (3rd ed., CLSI document EP15-A3). Clinical and Laboratory Standards Institute.</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Clinical and Laboratory Standards Institute. (2018). Validation and verification of multiplex nucleic acid assays; Approved guideline (2nd ed., CLSI document MM17-Ed2). Clinical and Laboratory Standards Institute.</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Clinical and Laboratory Standards Institute. (2020). Evaluation of linearity of quantitative measurement procedures; Approved guideline (2nd ed., CLSI guideline EP06-Ed2). Clinical and Laboratory Standards Institute.</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Clinical and Laboratory Standards Institute. (2022). User verification of linearity implementation guide (1st ed., CLSI guideline EP06IG). Clinical and Laboratory Standards Institute.</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Clinical and Laboratory Standards Institute. (2025). Estimation of total analytical error for clinical laboratory measurement procedures (3rd ed., CLSI guideline EP21-Ed3). Clinical and Laboratory Standards Institute.</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 xml:space="preserve">Clinical and Laboratory Standards Institute. (2025). Evaluation of precision of quantitative measurement procedures; Approved guideline (4th ed., CLSI document EP05-Ed4). Clinical and Laboratory Standards Institute. </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Cloete, K. W., Ristow, P. G., Kasu, M., &amp; D'Amato, M. E. (2017). Design, installation, and performance evaluation of a custom dye matrix standard for automated capillary electrophoresis. Electrophoresis. 38 (5):617–623.</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Cormen, T. H., Leiserson, C. E., Rivest, R. L., &amp; Stein, C. (2009). Introduction to algorithms (3rd ed.). MIT Press and McGraw-Hill.</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Cornish, N. E., Bachmann, L. H., Diekema, D. J., McDonald, L. C., McNult, P., Stevens-Garcia, J., ... &amp; Miller, M. B. (2023). Pandemic demand for SARS-CoV-2 testing led to critical supply and workforce shortages in US clinical and public health laboratories. Journal of Clinical Microbiology. 61(7):e03189-20.</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Durney, B. C., Crihfield, C. L., &amp; Holland, L. A. (2015). Capillary electrophoresis applied to DNA: Determining and harnessing sequence and structure to advance bioanalyses (2009–2014). Analytical and Bioanalytical Chemistry.407:6923.</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Giavarina, D. (2015). Understanding Bland Altman analysis. Biochemia Medica. 25 (2):141–151.</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Girma, M., Desale, A., Hassen, F., Sisay, A., &amp; Tsegaye, A. (2018). Survey-defined and interview-elicited challenges that faced Ethiopian government hospital laboratories as they applied ISO 15189 accreditation standards in resource-constrained settings in 2017. American Journal of Clinical Pathology. 150 (4):303–309.</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Green, R., Elliott, J. L., Norona, W., Go, F., Nguyen, V. T., Ge, J., ... &amp; Zhong, C. (2021). Developmental validation of VeriFiler™ Plus PCR amplification kit: A 6-dye multiplex assay designed for casework samples. Forensic Science International: Genetics. 53: 102494.</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Hilborne, L. H., Wagner, Z., &amp; Harrison, J. S. (2022). Vulnerability of clinical laboratory supply lines during systemic healthcare disruptions. American Journal of Clinical Pathology. 158 (3):312–319.</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Hömig-Hölzel, C., &amp; Savola, S. (2012). Multiplex ligation-dependent probe amplification (MLPA) in tumor diagnostics and prognostics. Diagnostic Molecular Pathology. 21(4): 189–206.</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Hyndman, R. J., &amp; Koehler, A. B. (2006). Another look at measures of forecast accuracy. International Journal of Forecasting.22 (4): 679–688.</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Jankowski, S., Currie-Fraser, E., Xu, L., &amp; Coffa, J. (2008). Multiplex ligation-dependent probe amplification analysis on capillary electrophoresis instruments for a rapid gene copy number study. Journal of Biomolecular Techniques: JBT. 19 (4): 238.</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Jennings, L., Van Deerlin, V. M., &amp; Gulley, M. L. (2009). Recommended principles and practices for validating clinical molecular pathology tests. Archives of Pathology &amp; Laboratory Medicine. 133(5): 743–755.</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Koo, T. K., &amp; Li, M. Y. (2016). A guideline of selecting and reporting intraclass correlation coefficients for reliability research. Journal of Chiropractic Medicine. 15 (2): 155–163.</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Kooper, A. J. A., de Vries, F. A., &amp; Schouten, J. P. (2008a). Multiplex ligation-dependent probe amplification (MLPA) as a rapid diagnostic method for prenatal chromosomal aneuploidy detection. Prenatal Diagnosis. 28 (7): 612–618.</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Kooper, A. J. A., Faas, B. H. W., Kater-Baats, E., Feuth, T., Janssen, J. C. J. A., van der Burgt, I., ... &amp; Smits, A. P. T. (2008b). Multiplex Ligation-dependent Probe Amplification (MLPA) as a stand-alone test for rapid aneuploidy detection in amniotic fluid cells. Prenatal Diagnosis. 28(11): 1004–1010.</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Kovach, K. (2023). Capillary electrophoresis with Applied Biosystems' 3500 genetic analyzer. In Forensic DNA Analysis: Methods and Protocols (pp. 285–305). Springer US.</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Krebs, F., Zagst, H., Stein, M., et al. (2023). Strategies for capillary electrophoresis: Method development and validation for pharmaceutical and biological applications—Updated and completely revised edition. Electrophoresis, 44(17-18), 1279–1341.</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Lhotska, H., Janeckova, K., Cechova, H., Macoun, J., Aghova, T., Lizcova, L., ... &amp; Zemanova, Z. (2025). Validating a clinically based MS-MLPA threshold through comparison with Sanger sequencing in glioblastoma patients. Clinical Epigenetics. 17 (1): 16.</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Ludeman, M. J., Zhong, C., Mulero, J. J., Lagacé, R. E., Hennessy, L. K., Short, M. L., &amp; Wang, D. Y. (2018). Developmental validation of GlobalFiler™ PCR amplification kit: A 6-dye multiplex assay designed for amplification of casework samples. International Journal of Legal Medicine. 132 (6): 1555–1573.</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Magableh, G. M. (2021). Supply chains and the COVID-19 pandemic: A comprehensive framework. European Management Review.18 (3): 363–382.</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Manly, B. F. J. (2018). Randomization, bootstrap and Monte Carlo methods in biology (4th ed.). CRC Press.</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Martín, P., de Simón, L. F., Luque, G., Farfán, M. J., &amp; Alonso, A. (2014). Improving DNA data exchange: Validation studies on a single 6 dye STR kit with 24 loci. Forensic Science International: Genetics. 13: 68–78.</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Massalska, D., Bijok, J., Jakiel, G., Roszkowski, T., Zimowski, J. G., &amp; Jóźwiak, A. (2013). Multiplex ligation-dependent probe amplification (MLPA)–new possibilities of prenatal diagnosis. Ginekologia Polska. 84 (6).</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Miller, J. N., &amp; Miller, J. C. (2010). Statistics and chemometrics for analytical chemistry (6th ed.). Pearson Education.</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MRC Holland Support. (n.d.). How do I adjust a bin set (create a manual bin set) in Coffalyser.Net? Retrieved February 15, 2026, from https://support.mrcholland.com</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MRC Holland. (2020). Coffalyser.Net reference manual [Manufacturer documentation]. MRC Holland.</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 xml:space="preserve">MRC Holland. (2025). SALSA MLPA probemix P095 aneuploidy: Product description and bin sets (Document version A4-06). MRC Holland. </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MRC Holland. (n.d.). Coffalyser.Net data analysis software documentation. Retrieved February 15, 2026, from https://support.mrcholland.com</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Peaper, D. R., Benson, S. J., &amp; Martin, K. G. (2024). Operational adaptation strategies and regional validation networks for mitigating diagnostic supply chain disruptions. Journal of Clinical Microbiology. 62 (2): e01124-23.</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Rosenblum, B. B., Oaks, F., Menchen, S., &amp; Johnson, B. (1997). Improved single-strand DNA sizing accuracy in capillary electrophoresis. Nucleic Acids Research. 25 (19): 3925–3929.</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Santacreu, A. M., &amp; LaBelle, J. (2022). Global supply chain disruptions and inflation during the COVID-19 pandemic. Federal Reserve Bank of St. Louis Review. 104 (2): 78–91.</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Schouten, J. P., McElgunn, C. J., Waaijer, R., Zwijnenburg, D., Diepvens, F., &amp; Pals, G. (2002). Relative quantification of 40 nucleic acid sequences by multiplex ligation-dependent probe amplification. Nucleic Acids Research. 30 (12): e57.</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Sisay, A., Girma, M., &amp; Deress, T. (2019). Evaluation of laboratory reagent stockouts and procurement hurdles in public hospital laboratories in Addis Ababa, Ethiopia. BMC Health Services Research. 19 (1): 412.</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Sisay, A., Mindaye, T., Tesfaye, A., Abera, E., &amp; Desale, A. (2015). Assessing the outcome of Strengthening Laboratory Management Towards Accreditation (SLMTA) on laboratory quality management system in city government of Addis Ababa, Ethiopia. Pan African Medical Journal. 20: 314.</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Stuppia, L., Antonucci, I., Palka, G., &amp; Gatta, V. (2012). Use of the MLPA assay in the molecular diagnosis of gene copy number alterations in human genetic diseases. International Journal of Molecular Sciences. 13 (3): 3245–3276.</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Van Opstal, D., Boter, M., De Jong, D., Van Den Berg, C., Brüggenwirth, H. T., Wildschut, H. I., de Klein, A., &amp; Galjaard, R. J. (2009). Rapid aneuploidy detection with multiplex ligation-dependent probe amplification: A prospective study of 4000 amniotic fluid samples. European Journal of Human Genetics. 17 (1): 112–121.</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Vanstapel, F. J. L. A., Orth, M., Streichert, T., Capoluongo, E. D., Oosterhuis, W. P., Çubukçu, H. C., ... &amp; Neumaier, M. (2023). ISO 15189 is a sufficient instrument to guarantee high-quality manufacture of laboratory developed tests for in-house-use conform requirements of the European In-Vitro-Diagnostics Regulation. Clinical Chemistry and Laboratory Medicine, 61(4), 608–626.</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Virtanen, P., Gommers, R., Oliphant, T. E., Haberland, M., Reddy, T., Cournapeau, D., ... &amp; Van Mulbregt, P. (2020). SciPy 1.0: Fundamental algorithms for scientific computing in Python. Nature Methods. 17 (3): 261–272.</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Wang, D. Y., Gopinath, S., Lagacé, R. E., Norona, W., Hennessy, L. K., Short, M. L., &amp; Mulero, J. J. (2015). Developmental validation of the GlobalFiler® Express PCR amplification kit: A 6-dye multiplex assay for the direct amplification of reference samples. Forensic Science International: Genetics. 19: 148–155.</w:t>
      </w:r>
    </w:p>
    <w:p>
      <w:pPr>
        <w:pStyle w:val="49"/>
        <w:numPr>
          <w:ilvl w:val="0"/>
          <w:numId w:val="14"/>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Wickenheiser, R. A. (2022). Expanding DNA database effectiveness. Forensic Science International: Synergy. 4: 100226.</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World Health Organization, &amp; World Bank. (2023). Tracking universal health coverage: 2023 global monitoring report. https://www.who.int/publications/i/item/9789240080379</w:t>
      </w:r>
    </w:p>
    <w:p>
      <w:pPr>
        <w:pStyle w:val="49"/>
        <w:numPr>
          <w:ilvl w:val="0"/>
          <w:numId w:val="14"/>
        </w:numPr>
        <w:spacing w:line="360" w:lineRule="auto"/>
        <w:jc w:val="both"/>
        <w:rPr>
          <w:rFonts w:hint="default" w:ascii="Times New Roman" w:hAnsi="Times New Roman" w:cs="Times New Roman"/>
          <w:color w:val="FF0000"/>
          <w:sz w:val="24"/>
          <w:szCs w:val="24"/>
        </w:rPr>
      </w:pPr>
      <w:r>
        <w:rPr>
          <w:rFonts w:hint="default" w:ascii="Times New Roman" w:hAnsi="Times New Roman" w:cs="Times New Roman"/>
          <w:sz w:val="24"/>
          <w:szCs w:val="24"/>
        </w:rPr>
        <w:t>World Health Organization. (2023). WHO model list of essential in vitro diagnostics 2023: 3rd list. https://www.who.int/publications/i/item/9789240081093</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spacing w:line="360" w:lineRule="auto"/>
        <w:jc w:val="both"/>
        <w:rPr>
          <w:rFonts w:hint="default" w:ascii="Times New Roman" w:hAnsi="Times New Roman" w:cs="Times New Roman"/>
          <w:b/>
          <w:sz w:val="24"/>
          <w:szCs w:val="24"/>
        </w:rPr>
      </w:pPr>
    </w:p>
    <w:p>
      <w:pPr>
        <w:pStyle w:val="49"/>
        <w:spacing w:line="360" w:lineRule="auto"/>
        <w:ind w:left="360"/>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Fragment ID  Type   Chr Bin (nt) Mean Obs (nt) Shift (nt) SD (nt)  n Adjusted?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Q-64 (DNA) - 64nt  QC    –  64 62.75   −1.247 0.102 30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Q-70 (DNA) - 70nt QC  – 70 70.20   +0.198 0.912   40    No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Q-76 (DNA) - 76nt   QC  – 76   73.93   −2.073   1.003   30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Q-82 (DNA) - 82nt   QC  –   82   80.25   −1.745   0.069   10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CARM1-1 (DD) - 88nt QC  –   88   87.38   −0.617   0.059   40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IL1B-4 (Lig) - 92nt   QC  – 92   91.39   −0.605   0.061   40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JPH3-up (DD) - 96nt QC – 96   96.62 +0.621   0.056 40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AMOT-4 (XC) - 100nt   QC  X 100 100.80 +0.804 0.054 40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Y-105† QC  Y 105   105.55 +0.546 0.052 25  N/A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SIM2-11 - 136nt  Target 21 136  135.83 −0.169 0.064 40  No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SMAD4-2 - 142nt Target 18 142 142.83   +0.830 0.054   40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ABCC4-23 - 148nt Target 13   148    148.41   +0.405 0.049 40  No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AR-1 - 154nt Target X   154   155.12   +1.125 0.042 40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SRY-1 - 160nt Target Y   160   160.84   +0.836   0.014  25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NCAM2-12 - 166nt   Target 21   166   167.01   +1.009   0.032 40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PMAIP1-2 - 172nt Target 18 172   173.16   +1.162 0.038 40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CCNA1-9 - 178nt Target 13 178 180.03 +2.031   0.053 40   Yes </w:t>
      </w: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†Y-105: not bin-assigned in active Coffalyser.Net template; shift calculated from 25 male-donor wells only. All other values derived from all qualifying wells per fragment (n=40 autosomal/X; n=25 Y-specific).</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p>
    <w:p>
      <w:pPr>
        <w:rPr>
          <w:rFonts w:hint="default" w:ascii="Times New Roman" w:hAnsi="Times New Roman" w:cs="Times New Roman"/>
        </w:rPr>
      </w:pPr>
      <w:r>
        <w:rPr>
          <w:rFonts w:hint="default" w:ascii="Times New Roman" w:hAnsi="Times New Roman" w:cs="Times New Roman"/>
          <w:b/>
          <w:sz w:val="26"/>
        </w:rPr>
        <w:t>Data and Code Availability Statement</w:t>
      </w:r>
    </w:p>
    <w:p>
      <w:pPr>
        <w:rPr>
          <w:rFonts w:hint="default" w:ascii="Times New Roman" w:hAnsi="Times New Roman" w:cs="Times New Roman"/>
        </w:rPr>
      </w:pPr>
      <w:r>
        <w:rPr>
          <w:rFonts w:hint="default" w:ascii="Times New Roman" w:hAnsi="Times New Roman" w:cs="Times New Roman"/>
        </w:rPr>
        <w:t>Data Availability Statement: The supplementary datasets, analysis tables, computational scripts, and figures generated during this study are uploaded separately to the journal as supplementary materials and are also fully available in the project GitHub repository.</w:t>
      </w:r>
    </w:p>
    <w:sectPr>
      <w:footerReference r:id="rId5" w:type="default"/>
      <w:pgSz w:w="12240" w:h="15840"/>
      <w:pgMar w:top="1440" w:right="1440" w:bottom="1440" w:left="1440" w:header="0" w:footer="0" w:gutter="0"/>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A00002EF" w:usb1="4000207B" w:usb2="00000000" w:usb3="00000000" w:csb0="2000019F" w:csb1="0000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swiss"/>
    <w:pitch w:val="default"/>
    <w:sig w:usb0="00000003" w:usb1="00000000" w:usb2="00000000" w:usb3="00000000" w:csb0="20000001" w:csb1="00000000"/>
  </w:font>
  <w:font w:name="Microsoft YaHei">
    <w:panose1 w:val="020B0503020204020204"/>
    <w:charset w:val="86"/>
    <w:family w:val="swiss"/>
    <w:pitch w:val="default"/>
    <w:sig w:usb0="80000287" w:usb1="280F3C52" w:usb2="00000016" w:usb3="00000000" w:csb0="0004001F" w:csb1="00000000"/>
  </w:font>
  <w:font w:name="Symbol">
    <w:panose1 w:val="05050102010706020507"/>
    <w:charset w:val="02"/>
    <w:family w:val="roman"/>
    <w:pitch w:val="default"/>
    <w:sig w:usb0="00000000" w:usb1="00000000" w:usb2="00000000" w:usb3="00000000" w:csb0="80000000" w:csb1="00000000"/>
  </w:font>
  <w:font w:name="sans-serif">
    <w:altName w:val="Geez Able"/>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Geez Able">
    <w:panose1 w:val="02000509030000020004"/>
    <w:charset w:val="00"/>
    <w:family w:val="auto"/>
    <w:pitch w:val="default"/>
    <w:sig w:usb0="800000A7" w:usb1="5000004A" w:usb2="00000800" w:usb3="00000000" w:csb0="200000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09006544"/>
      <w:docPartObj>
        <w:docPartGallery w:val="autotext"/>
      </w:docPartObj>
    </w:sdtPr>
    <w:sdtContent>
      <w:p>
        <w:pPr>
          <w:pStyle w:val="17"/>
          <w:jc w:val="center"/>
        </w:pPr>
        <w:r>
          <w:fldChar w:fldCharType="begin"/>
        </w:r>
        <w:r>
          <w:instrText xml:space="preserve"> PAGE   \* MERGEFORMAT </w:instrText>
        </w:r>
        <w:r>
          <w:fldChar w:fldCharType="separate"/>
        </w:r>
        <w:r>
          <w:t>1</w:t>
        </w:r>
        <w:r>
          <w:fldChar w:fldCharType="end"/>
        </w:r>
      </w:p>
    </w:sdtContent>
  </w:sdt>
  <w:p>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611196"/>
    <w:multiLevelType w:val="multilevel"/>
    <w:tmpl w:val="0561119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B2F4368"/>
    <w:multiLevelType w:val="multilevel"/>
    <w:tmpl w:val="0B2F4368"/>
    <w:lvl w:ilvl="0" w:tentative="0">
      <w:start w:val="1"/>
      <w:numFmt w:val="decimal"/>
      <w:lvlText w:val="%1."/>
      <w:lvlJc w:val="left"/>
      <w:pPr>
        <w:ind w:left="360" w:hanging="360"/>
      </w:pPr>
    </w:lvl>
    <w:lvl w:ilvl="1" w:tentative="0">
      <w:start w:val="1"/>
      <w:numFmt w:val="lowerRoman"/>
      <w:lvlText w:val="(%2)"/>
      <w:lvlJc w:val="left"/>
      <w:pPr>
        <w:ind w:left="720" w:hanging="720"/>
      </w:pPr>
      <w:rPr>
        <w:rFonts w:hint="default" w:asciiTheme="minorHAnsi" w:hAnsiTheme="minorHAnsi" w:cstheme="minorBidi"/>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178D2352"/>
    <w:multiLevelType w:val="multilevel"/>
    <w:tmpl w:val="178D2352"/>
    <w:lvl w:ilvl="0" w:tentative="0">
      <w:start w:val="3"/>
      <w:numFmt w:val="decimal"/>
      <w:lvlText w:val="%1."/>
      <w:lvlJc w:val="left"/>
      <w:pPr>
        <w:tabs>
          <w:tab w:val="left" w:pos="0"/>
        </w:tabs>
        <w:ind w:left="360" w:hanging="360"/>
      </w:pPr>
      <w:rPr>
        <w:b/>
        <w:color w:val="auto"/>
      </w:rPr>
    </w:lvl>
    <w:lvl w:ilvl="1" w:tentative="0">
      <w:start w:val="1"/>
      <w:numFmt w:val="decimal"/>
      <w:lvlText w:val="%1.%2."/>
      <w:lvlJc w:val="left"/>
      <w:pPr>
        <w:tabs>
          <w:tab w:val="left" w:pos="0"/>
        </w:tabs>
        <w:ind w:left="360" w:hanging="360"/>
      </w:pPr>
      <w:rPr>
        <w:rFonts w:hint="default" w:ascii="Times New Roman" w:hAnsi="Times New Roman" w:cs="Times New Roman"/>
        <w:b/>
        <w:color w:val="auto"/>
      </w:rPr>
    </w:lvl>
    <w:lvl w:ilvl="2" w:tentative="0">
      <w:start w:val="1"/>
      <w:numFmt w:val="decimal"/>
      <w:lvlText w:val="%1.%2.%3."/>
      <w:lvlJc w:val="left"/>
      <w:pPr>
        <w:tabs>
          <w:tab w:val="left" w:pos="0"/>
        </w:tabs>
        <w:ind w:left="720" w:hanging="720"/>
      </w:pPr>
      <w:rPr>
        <w:b/>
        <w:color w:val="auto"/>
      </w:rPr>
    </w:lvl>
    <w:lvl w:ilvl="3" w:tentative="0">
      <w:start w:val="1"/>
      <w:numFmt w:val="decimal"/>
      <w:lvlText w:val="%1.%2.%3.%4."/>
      <w:lvlJc w:val="left"/>
      <w:pPr>
        <w:tabs>
          <w:tab w:val="left" w:pos="0"/>
        </w:tabs>
        <w:ind w:left="720" w:hanging="720"/>
      </w:pPr>
      <w:rPr>
        <w:b/>
        <w:color w:val="auto"/>
      </w:rPr>
    </w:lvl>
    <w:lvl w:ilvl="4" w:tentative="0">
      <w:start w:val="1"/>
      <w:numFmt w:val="decimal"/>
      <w:lvlText w:val="%1.%2.%3.%4.%5."/>
      <w:lvlJc w:val="left"/>
      <w:pPr>
        <w:tabs>
          <w:tab w:val="left" w:pos="0"/>
        </w:tabs>
        <w:ind w:left="1080" w:hanging="1080"/>
      </w:pPr>
      <w:rPr>
        <w:color w:val="FF0000"/>
      </w:rPr>
    </w:lvl>
    <w:lvl w:ilvl="5" w:tentative="0">
      <w:start w:val="1"/>
      <w:numFmt w:val="decimal"/>
      <w:lvlText w:val="%1.%2.%3.%4.%5.%6."/>
      <w:lvlJc w:val="left"/>
      <w:pPr>
        <w:tabs>
          <w:tab w:val="left" w:pos="0"/>
        </w:tabs>
        <w:ind w:left="1080" w:hanging="1080"/>
      </w:pPr>
      <w:rPr>
        <w:color w:val="FF0000"/>
      </w:rPr>
    </w:lvl>
    <w:lvl w:ilvl="6" w:tentative="0">
      <w:start w:val="1"/>
      <w:numFmt w:val="decimal"/>
      <w:lvlText w:val="%1.%2.%3.%4.%5.%6.%7."/>
      <w:lvlJc w:val="left"/>
      <w:pPr>
        <w:tabs>
          <w:tab w:val="left" w:pos="0"/>
        </w:tabs>
        <w:ind w:left="1440" w:hanging="1440"/>
      </w:pPr>
      <w:rPr>
        <w:color w:val="FF0000"/>
      </w:rPr>
    </w:lvl>
    <w:lvl w:ilvl="7" w:tentative="0">
      <w:start w:val="1"/>
      <w:numFmt w:val="decimal"/>
      <w:lvlText w:val="%1.%2.%3.%4.%5.%6.%7.%8."/>
      <w:lvlJc w:val="left"/>
      <w:pPr>
        <w:tabs>
          <w:tab w:val="left" w:pos="0"/>
        </w:tabs>
        <w:ind w:left="1440" w:hanging="1440"/>
      </w:pPr>
      <w:rPr>
        <w:color w:val="FF0000"/>
      </w:rPr>
    </w:lvl>
    <w:lvl w:ilvl="8" w:tentative="0">
      <w:start w:val="1"/>
      <w:numFmt w:val="decimal"/>
      <w:lvlText w:val="%1.%2.%3.%4.%5.%6.%7.%8.%9."/>
      <w:lvlJc w:val="left"/>
      <w:pPr>
        <w:tabs>
          <w:tab w:val="left" w:pos="0"/>
        </w:tabs>
        <w:ind w:left="1800" w:hanging="1800"/>
      </w:pPr>
      <w:rPr>
        <w:color w:val="FF0000"/>
      </w:rPr>
    </w:lvl>
  </w:abstractNum>
  <w:abstractNum w:abstractNumId="3">
    <w:nsid w:val="36E705B9"/>
    <w:multiLevelType w:val="multilevel"/>
    <w:tmpl w:val="36E705B9"/>
    <w:lvl w:ilvl="0" w:tentative="0">
      <w:start w:val="1"/>
      <w:numFmt w:val="lowerRoman"/>
      <w:lvlText w:val="%1."/>
      <w:lvlJc w:val="left"/>
      <w:pPr>
        <w:tabs>
          <w:tab w:val="left" w:pos="-270"/>
        </w:tabs>
        <w:ind w:left="810" w:hanging="720"/>
      </w:pPr>
      <w:rPr>
        <w:rFonts w:ascii="Times New Roman" w:hAnsi="Times New Roman" w:cs="Times New Roman" w:eastAsiaTheme="minorHAnsi"/>
      </w:rPr>
    </w:lvl>
    <w:lvl w:ilvl="1" w:tentative="0">
      <w:start w:val="1"/>
      <w:numFmt w:val="lowerLetter"/>
      <w:lvlText w:val="%2."/>
      <w:lvlJc w:val="left"/>
      <w:pPr>
        <w:tabs>
          <w:tab w:val="left" w:pos="-270"/>
        </w:tabs>
        <w:ind w:left="1170" w:hanging="360"/>
      </w:pPr>
    </w:lvl>
    <w:lvl w:ilvl="2" w:tentative="0">
      <w:start w:val="1"/>
      <w:numFmt w:val="lowerRoman"/>
      <w:lvlText w:val="%3."/>
      <w:lvlJc w:val="right"/>
      <w:pPr>
        <w:tabs>
          <w:tab w:val="left" w:pos="-1980"/>
        </w:tabs>
        <w:ind w:left="180" w:hanging="180"/>
      </w:pPr>
    </w:lvl>
    <w:lvl w:ilvl="3" w:tentative="0">
      <w:start w:val="1"/>
      <w:numFmt w:val="decimal"/>
      <w:lvlText w:val="%4."/>
      <w:lvlJc w:val="left"/>
      <w:pPr>
        <w:tabs>
          <w:tab w:val="left" w:pos="-2520"/>
        </w:tabs>
        <w:ind w:left="360" w:hanging="360"/>
      </w:pPr>
    </w:lvl>
    <w:lvl w:ilvl="4" w:tentative="0">
      <w:start w:val="1"/>
      <w:numFmt w:val="lowerLetter"/>
      <w:lvlText w:val="%5."/>
      <w:lvlJc w:val="left"/>
      <w:pPr>
        <w:tabs>
          <w:tab w:val="left" w:pos="-270"/>
        </w:tabs>
        <w:ind w:left="3330" w:hanging="360"/>
      </w:pPr>
    </w:lvl>
    <w:lvl w:ilvl="5" w:tentative="0">
      <w:start w:val="1"/>
      <w:numFmt w:val="lowerRoman"/>
      <w:lvlText w:val="%6."/>
      <w:lvlJc w:val="right"/>
      <w:pPr>
        <w:tabs>
          <w:tab w:val="left" w:pos="-4050"/>
        </w:tabs>
        <w:ind w:left="270" w:hanging="180"/>
      </w:pPr>
    </w:lvl>
    <w:lvl w:ilvl="6" w:tentative="0">
      <w:start w:val="1"/>
      <w:numFmt w:val="decimal"/>
      <w:lvlText w:val="%7."/>
      <w:lvlJc w:val="left"/>
      <w:pPr>
        <w:tabs>
          <w:tab w:val="left" w:pos="-270"/>
        </w:tabs>
        <w:ind w:left="4770" w:hanging="360"/>
      </w:pPr>
    </w:lvl>
    <w:lvl w:ilvl="7" w:tentative="0">
      <w:start w:val="1"/>
      <w:numFmt w:val="lowerLetter"/>
      <w:lvlText w:val="%8."/>
      <w:lvlJc w:val="left"/>
      <w:pPr>
        <w:tabs>
          <w:tab w:val="left" w:pos="-270"/>
        </w:tabs>
        <w:ind w:left="5490" w:hanging="360"/>
      </w:pPr>
    </w:lvl>
    <w:lvl w:ilvl="8" w:tentative="0">
      <w:start w:val="1"/>
      <w:numFmt w:val="lowerRoman"/>
      <w:lvlText w:val="%9."/>
      <w:lvlJc w:val="right"/>
      <w:pPr>
        <w:tabs>
          <w:tab w:val="left" w:pos="-6120"/>
        </w:tabs>
        <w:ind w:left="360" w:hanging="180"/>
      </w:pPr>
    </w:lvl>
  </w:abstractNum>
  <w:abstractNum w:abstractNumId="4">
    <w:nsid w:val="3C497451"/>
    <w:multiLevelType w:val="multilevel"/>
    <w:tmpl w:val="3C497451"/>
    <w:lvl w:ilvl="0" w:tentative="0">
      <w:start w:val="2"/>
      <w:numFmt w:val="decimal"/>
      <w:lvlText w:val="%1."/>
      <w:lvlJc w:val="left"/>
      <w:pPr>
        <w:tabs>
          <w:tab w:val="left" w:pos="0"/>
        </w:tabs>
        <w:ind w:left="540" w:hanging="540"/>
      </w:pPr>
    </w:lvl>
    <w:lvl w:ilvl="1" w:tentative="0">
      <w:start w:val="5"/>
      <w:numFmt w:val="decimal"/>
      <w:lvlText w:val="%1.%2."/>
      <w:lvlJc w:val="left"/>
      <w:pPr>
        <w:tabs>
          <w:tab w:val="left" w:pos="0"/>
        </w:tabs>
        <w:ind w:left="540" w:hanging="540"/>
      </w:pPr>
      <w:rPr>
        <w:color w:val="auto"/>
      </w:rPr>
    </w:lvl>
    <w:lvl w:ilvl="2" w:tentative="0">
      <w:start w:val="1"/>
      <w:numFmt w:val="decimal"/>
      <w:lvlText w:val="%1.%2.%3."/>
      <w:lvlJc w:val="left"/>
      <w:pPr>
        <w:tabs>
          <w:tab w:val="left" w:pos="0"/>
        </w:tabs>
        <w:ind w:left="720" w:hanging="720"/>
      </w:pPr>
      <w:rPr>
        <w:b/>
        <w:color w:val="auto"/>
      </w:rPr>
    </w:lvl>
    <w:lvl w:ilvl="3" w:tentative="0">
      <w:start w:val="1"/>
      <w:numFmt w:val="decimal"/>
      <w:lvlText w:val="%1.%2.%3.%4."/>
      <w:lvlJc w:val="left"/>
      <w:pPr>
        <w:tabs>
          <w:tab w:val="left" w:pos="0"/>
        </w:tabs>
        <w:ind w:left="720" w:hanging="720"/>
      </w:pPr>
      <w:rPr>
        <w:b/>
        <w:color w:val="auto"/>
      </w:r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080" w:hanging="108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800" w:hanging="1800"/>
      </w:pPr>
    </w:lvl>
  </w:abstractNum>
  <w:abstractNum w:abstractNumId="5">
    <w:nsid w:val="4150543C"/>
    <w:multiLevelType w:val="multilevel"/>
    <w:tmpl w:val="415054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5545D7F"/>
    <w:multiLevelType w:val="multilevel"/>
    <w:tmpl w:val="45545D7F"/>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74D19FA"/>
    <w:multiLevelType w:val="multilevel"/>
    <w:tmpl w:val="474D19F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D2E2739"/>
    <w:multiLevelType w:val="multilevel"/>
    <w:tmpl w:val="4D2E27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42021DE"/>
    <w:multiLevelType w:val="multilevel"/>
    <w:tmpl w:val="542021DE"/>
    <w:lvl w:ilvl="0" w:tentative="0">
      <w:start w:val="1"/>
      <w:numFmt w:val="upperRoman"/>
      <w:lvlText w:val="%1."/>
      <w:lvlJc w:val="left"/>
      <w:pPr>
        <w:ind w:left="720" w:hanging="720"/>
      </w:pPr>
      <w:rPr>
        <w:rFonts w:hint="default"/>
        <w:b/>
      </w:rPr>
    </w:lvl>
    <w:lvl w:ilvl="1" w:tentative="0">
      <w:start w:val="5"/>
      <w:numFmt w:val="decimal"/>
      <w:isLgl/>
      <w:lvlText w:val="%1.%2."/>
      <w:lvlJc w:val="left"/>
      <w:pPr>
        <w:ind w:left="780" w:hanging="780"/>
      </w:pPr>
      <w:rPr>
        <w:rFonts w:hint="default"/>
      </w:rPr>
    </w:lvl>
    <w:lvl w:ilvl="2" w:tentative="0">
      <w:start w:val="3"/>
      <w:numFmt w:val="decimal"/>
      <w:isLgl/>
      <w:lvlText w:val="%1.%2.%3."/>
      <w:lvlJc w:val="left"/>
      <w:pPr>
        <w:ind w:left="780" w:hanging="780"/>
      </w:pPr>
      <w:rPr>
        <w:rFonts w:hint="default"/>
      </w:rPr>
    </w:lvl>
    <w:lvl w:ilvl="3" w:tentative="0">
      <w:start w:val="2"/>
      <w:numFmt w:val="decimal"/>
      <w:isLgl/>
      <w:lvlText w:val="%1.%2.%3.%4."/>
      <w:lvlJc w:val="left"/>
      <w:pPr>
        <w:ind w:left="780" w:hanging="7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10">
    <w:nsid w:val="569F6455"/>
    <w:multiLevelType w:val="multilevel"/>
    <w:tmpl w:val="569F6455"/>
    <w:lvl w:ilvl="0" w:tentative="0">
      <w:start w:val="1"/>
      <w:numFmt w:val="lowerRoman"/>
      <w:lvlText w:val="%1."/>
      <w:lvlJc w:val="left"/>
      <w:pPr>
        <w:ind w:left="1080" w:hanging="720"/>
      </w:pPr>
      <w:rPr>
        <w:rFonts w:hint="default"/>
      </w:rPr>
    </w:lvl>
    <w:lvl w:ilvl="1" w:tentative="0">
      <w:start w:val="1"/>
      <w:numFmt w:val="lowerLetter"/>
      <w:lvlText w:val="%2."/>
      <w:lvlJc w:val="left"/>
      <w:pPr>
        <w:ind w:left="360" w:hanging="360"/>
      </w:pPr>
    </w:lvl>
    <w:lvl w:ilvl="2" w:tentative="0">
      <w:start w:val="1"/>
      <w:numFmt w:val="lowerRoman"/>
      <w:lvlText w:val="%3."/>
      <w:lvlJc w:val="right"/>
      <w:pPr>
        <w:ind w:left="360" w:hanging="180"/>
      </w:pPr>
    </w:lvl>
    <w:lvl w:ilvl="3" w:tentative="0">
      <w:start w:val="1"/>
      <w:numFmt w:val="decimal"/>
      <w:lvlText w:val="%4."/>
      <w:lvlJc w:val="left"/>
      <w:pPr>
        <w:ind w:left="360" w:hanging="360"/>
      </w:pPr>
    </w:lvl>
    <w:lvl w:ilvl="4" w:tentative="0">
      <w:start w:val="1"/>
      <w:numFmt w:val="lowerLetter"/>
      <w:lvlText w:val="%5."/>
      <w:lvlJc w:val="left"/>
      <w:pPr>
        <w:ind w:left="360" w:hanging="360"/>
      </w:pPr>
    </w:lvl>
    <w:lvl w:ilvl="5" w:tentative="0">
      <w:start w:val="1"/>
      <w:numFmt w:val="lowerRoman"/>
      <w:lvlText w:val="%6."/>
      <w:lvlJc w:val="right"/>
      <w:pPr>
        <w:ind w:left="180" w:hanging="180"/>
      </w:pPr>
    </w:lvl>
    <w:lvl w:ilvl="6" w:tentative="0">
      <w:start w:val="1"/>
      <w:numFmt w:val="decimal"/>
      <w:lvlText w:val="%7."/>
      <w:lvlJc w:val="left"/>
      <w:pPr>
        <w:ind w:left="36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29C4984"/>
    <w:multiLevelType w:val="multilevel"/>
    <w:tmpl w:val="629C4984"/>
    <w:lvl w:ilvl="0" w:tentative="0">
      <w:start w:val="1"/>
      <w:numFmt w:val="decimal"/>
      <w:lvlText w:val="%1."/>
      <w:lvlJc w:val="left"/>
      <w:pPr>
        <w:ind w:left="360" w:hanging="360"/>
      </w:pPr>
      <w:rPr>
        <w:b/>
      </w:rPr>
    </w:lvl>
    <w:lvl w:ilvl="1" w:tentative="0">
      <w:start w:val="1"/>
      <w:numFmt w:val="lowerRoman"/>
      <w:lvlText w:val="(%2)"/>
      <w:lvlJc w:val="left"/>
      <w:pPr>
        <w:ind w:left="720" w:hanging="720"/>
      </w:pPr>
      <w:rPr>
        <w:rFonts w:hint="default" w:asciiTheme="minorHAnsi" w:hAnsiTheme="minorHAnsi" w:cstheme="minorBidi"/>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2">
    <w:nsid w:val="68E606C0"/>
    <w:multiLevelType w:val="multilevel"/>
    <w:tmpl w:val="68E606C0"/>
    <w:lvl w:ilvl="0" w:tentative="0">
      <w:start w:val="1"/>
      <w:numFmt w:val="decimal"/>
      <w:lvlText w:val="%1."/>
      <w:lvlJc w:val="left"/>
      <w:pPr>
        <w:ind w:left="360" w:hanging="360"/>
      </w:pPr>
    </w:lvl>
    <w:lvl w:ilvl="1" w:tentative="0">
      <w:start w:val="1"/>
      <w:numFmt w:val="lowerRoman"/>
      <w:lvlText w:val="(%2)"/>
      <w:lvlJc w:val="left"/>
      <w:pPr>
        <w:ind w:left="720" w:hanging="720"/>
      </w:pPr>
      <w:rPr>
        <w:rFonts w:hint="default" w:asciiTheme="minorHAnsi" w:hAnsiTheme="minorHAnsi" w:cstheme="minorBidi"/>
      </w:r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3">
    <w:nsid w:val="6B5D2F0A"/>
    <w:multiLevelType w:val="multilevel"/>
    <w:tmpl w:val="6B5D2F0A"/>
    <w:lvl w:ilvl="0" w:tentative="0">
      <w:start w:val="1"/>
      <w:numFmt w:val="decimal"/>
      <w:lvlText w:val="%1."/>
      <w:lvlJc w:val="left"/>
      <w:pPr>
        <w:tabs>
          <w:tab w:val="left" w:pos="0"/>
        </w:tabs>
        <w:ind w:left="720" w:hanging="360"/>
      </w:pPr>
    </w:lvl>
    <w:lvl w:ilvl="1" w:tentative="0">
      <w:start w:val="1"/>
      <w:numFmt w:val="decimal"/>
      <w:isLgl/>
      <w:lvlText w:val="%1.%2"/>
      <w:lvlJc w:val="left"/>
      <w:pPr>
        <w:tabs>
          <w:tab w:val="left" w:pos="0"/>
        </w:tabs>
        <w:ind w:left="720" w:hanging="360"/>
      </w:pPr>
      <w:rPr>
        <w:b/>
        <w:color w:val="auto"/>
      </w:rPr>
    </w:lvl>
    <w:lvl w:ilvl="2" w:tentative="0">
      <w:start w:val="1"/>
      <w:numFmt w:val="decimal"/>
      <w:isLgl/>
      <w:lvlText w:val="%1.%2.%3"/>
      <w:lvlJc w:val="left"/>
      <w:pPr>
        <w:tabs>
          <w:tab w:val="left" w:pos="0"/>
        </w:tabs>
        <w:ind w:left="1080" w:hanging="720"/>
      </w:pPr>
    </w:lvl>
    <w:lvl w:ilvl="3" w:tentative="0">
      <w:start w:val="1"/>
      <w:numFmt w:val="decimal"/>
      <w:isLgl/>
      <w:lvlText w:val="%1.%2.%3.%4"/>
      <w:lvlJc w:val="left"/>
      <w:pPr>
        <w:tabs>
          <w:tab w:val="left" w:pos="0"/>
        </w:tabs>
        <w:ind w:left="1080" w:hanging="720"/>
      </w:pPr>
    </w:lvl>
    <w:lvl w:ilvl="4" w:tentative="0">
      <w:start w:val="1"/>
      <w:numFmt w:val="decimal"/>
      <w:isLgl/>
      <w:lvlText w:val="%1.%2.%3.%4.%5"/>
      <w:lvlJc w:val="left"/>
      <w:pPr>
        <w:tabs>
          <w:tab w:val="left" w:pos="0"/>
        </w:tabs>
        <w:ind w:left="1440" w:hanging="1080"/>
      </w:pPr>
    </w:lvl>
    <w:lvl w:ilvl="5" w:tentative="0">
      <w:start w:val="1"/>
      <w:numFmt w:val="decimal"/>
      <w:isLgl/>
      <w:lvlText w:val="%1.%2.%3.%4.%5.%6"/>
      <w:lvlJc w:val="left"/>
      <w:pPr>
        <w:tabs>
          <w:tab w:val="left" w:pos="0"/>
        </w:tabs>
        <w:ind w:left="1440" w:hanging="1080"/>
      </w:pPr>
    </w:lvl>
    <w:lvl w:ilvl="6" w:tentative="0">
      <w:start w:val="1"/>
      <w:numFmt w:val="decimal"/>
      <w:isLgl/>
      <w:lvlText w:val="%1.%2.%3.%4.%5.%6.%7"/>
      <w:lvlJc w:val="left"/>
      <w:pPr>
        <w:tabs>
          <w:tab w:val="left" w:pos="0"/>
        </w:tabs>
        <w:ind w:left="1800" w:hanging="1440"/>
      </w:pPr>
    </w:lvl>
    <w:lvl w:ilvl="7" w:tentative="0">
      <w:start w:val="1"/>
      <w:numFmt w:val="decimal"/>
      <w:isLgl/>
      <w:lvlText w:val="%1.%2.%3.%4.%5.%6.%7.%8"/>
      <w:lvlJc w:val="left"/>
      <w:pPr>
        <w:tabs>
          <w:tab w:val="left" w:pos="0"/>
        </w:tabs>
        <w:ind w:left="1800" w:hanging="1440"/>
      </w:pPr>
    </w:lvl>
    <w:lvl w:ilvl="8" w:tentative="0">
      <w:start w:val="1"/>
      <w:numFmt w:val="decimal"/>
      <w:isLgl/>
      <w:lvlText w:val="%1.%2.%3.%4.%5.%6.%7.%8.%9"/>
      <w:lvlJc w:val="left"/>
      <w:pPr>
        <w:tabs>
          <w:tab w:val="left" w:pos="0"/>
        </w:tabs>
        <w:ind w:left="2160" w:hanging="1800"/>
      </w:pPr>
    </w:lvl>
  </w:abstractNum>
  <w:num w:numId="1">
    <w:abstractNumId w:val="13"/>
  </w:num>
  <w:num w:numId="2">
    <w:abstractNumId w:val="5"/>
  </w:num>
  <w:num w:numId="3">
    <w:abstractNumId w:val="8"/>
  </w:num>
  <w:num w:numId="4">
    <w:abstractNumId w:val="9"/>
  </w:num>
  <w:num w:numId="5">
    <w:abstractNumId w:val="10"/>
  </w:num>
  <w:num w:numId="6">
    <w:abstractNumId w:val="4"/>
  </w:num>
  <w:num w:numId="7">
    <w:abstractNumId w:val="12"/>
  </w:num>
  <w:num w:numId="8">
    <w:abstractNumId w:val="2"/>
  </w:num>
  <w:num w:numId="9">
    <w:abstractNumId w:val="3"/>
  </w:num>
  <w:num w:numId="10">
    <w:abstractNumId w:val="6"/>
  </w:num>
  <w:num w:numId="11">
    <w:abstractNumId w:val="1"/>
  </w:num>
  <w:num w:numId="12">
    <w:abstractNumId w:val="1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autoHyphenation/>
  <w:hyphenationZone w:val="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DC0"/>
    <w:rsid w:val="00001C0D"/>
    <w:rsid w:val="00003034"/>
    <w:rsid w:val="00003410"/>
    <w:rsid w:val="000037B1"/>
    <w:rsid w:val="0000393A"/>
    <w:rsid w:val="00003F50"/>
    <w:rsid w:val="000048DE"/>
    <w:rsid w:val="00005CA3"/>
    <w:rsid w:val="00007E67"/>
    <w:rsid w:val="000118E3"/>
    <w:rsid w:val="0001202C"/>
    <w:rsid w:val="00012342"/>
    <w:rsid w:val="000125E5"/>
    <w:rsid w:val="00012687"/>
    <w:rsid w:val="00013831"/>
    <w:rsid w:val="00013FF7"/>
    <w:rsid w:val="0001471A"/>
    <w:rsid w:val="00014E6C"/>
    <w:rsid w:val="00015105"/>
    <w:rsid w:val="000168D0"/>
    <w:rsid w:val="00017084"/>
    <w:rsid w:val="00020B26"/>
    <w:rsid w:val="00020B87"/>
    <w:rsid w:val="000249C2"/>
    <w:rsid w:val="00025381"/>
    <w:rsid w:val="00025937"/>
    <w:rsid w:val="0002721A"/>
    <w:rsid w:val="0003028B"/>
    <w:rsid w:val="000305F4"/>
    <w:rsid w:val="0003237B"/>
    <w:rsid w:val="00032F33"/>
    <w:rsid w:val="00033486"/>
    <w:rsid w:val="00034202"/>
    <w:rsid w:val="00034829"/>
    <w:rsid w:val="00035AF4"/>
    <w:rsid w:val="0003650D"/>
    <w:rsid w:val="000435EC"/>
    <w:rsid w:val="00043685"/>
    <w:rsid w:val="00043FC0"/>
    <w:rsid w:val="00044452"/>
    <w:rsid w:val="00044660"/>
    <w:rsid w:val="00051546"/>
    <w:rsid w:val="0005385E"/>
    <w:rsid w:val="00055F4C"/>
    <w:rsid w:val="000561FE"/>
    <w:rsid w:val="00056574"/>
    <w:rsid w:val="0005699B"/>
    <w:rsid w:val="00056F9B"/>
    <w:rsid w:val="00057BEC"/>
    <w:rsid w:val="000612B9"/>
    <w:rsid w:val="00061426"/>
    <w:rsid w:val="00061846"/>
    <w:rsid w:val="0006344A"/>
    <w:rsid w:val="00064592"/>
    <w:rsid w:val="00064B87"/>
    <w:rsid w:val="00065763"/>
    <w:rsid w:val="00066EC8"/>
    <w:rsid w:val="00067B24"/>
    <w:rsid w:val="00070589"/>
    <w:rsid w:val="000705C2"/>
    <w:rsid w:val="00072567"/>
    <w:rsid w:val="000727C5"/>
    <w:rsid w:val="00073A94"/>
    <w:rsid w:val="00073C63"/>
    <w:rsid w:val="00073DCC"/>
    <w:rsid w:val="00073EB6"/>
    <w:rsid w:val="00074E84"/>
    <w:rsid w:val="00074FAA"/>
    <w:rsid w:val="000754D4"/>
    <w:rsid w:val="000754D8"/>
    <w:rsid w:val="000773CE"/>
    <w:rsid w:val="0008073E"/>
    <w:rsid w:val="00081004"/>
    <w:rsid w:val="0008129E"/>
    <w:rsid w:val="00082116"/>
    <w:rsid w:val="00083B12"/>
    <w:rsid w:val="00083C35"/>
    <w:rsid w:val="000844EA"/>
    <w:rsid w:val="000879D3"/>
    <w:rsid w:val="00096578"/>
    <w:rsid w:val="00096871"/>
    <w:rsid w:val="000A071A"/>
    <w:rsid w:val="000A0C99"/>
    <w:rsid w:val="000A1CE0"/>
    <w:rsid w:val="000A3C1C"/>
    <w:rsid w:val="000A3DD4"/>
    <w:rsid w:val="000A48CA"/>
    <w:rsid w:val="000A4982"/>
    <w:rsid w:val="000A6659"/>
    <w:rsid w:val="000A72FB"/>
    <w:rsid w:val="000B18DD"/>
    <w:rsid w:val="000B3003"/>
    <w:rsid w:val="000B3054"/>
    <w:rsid w:val="000B3A34"/>
    <w:rsid w:val="000B5A75"/>
    <w:rsid w:val="000B639E"/>
    <w:rsid w:val="000B670F"/>
    <w:rsid w:val="000B7224"/>
    <w:rsid w:val="000B7EAB"/>
    <w:rsid w:val="000C0BD2"/>
    <w:rsid w:val="000C0C05"/>
    <w:rsid w:val="000C1E4C"/>
    <w:rsid w:val="000C4C46"/>
    <w:rsid w:val="000C5964"/>
    <w:rsid w:val="000C5E11"/>
    <w:rsid w:val="000C77E3"/>
    <w:rsid w:val="000D48B3"/>
    <w:rsid w:val="000D4CB7"/>
    <w:rsid w:val="000D7920"/>
    <w:rsid w:val="000D7ECD"/>
    <w:rsid w:val="000D7F54"/>
    <w:rsid w:val="000E2807"/>
    <w:rsid w:val="000E2F2A"/>
    <w:rsid w:val="000E553F"/>
    <w:rsid w:val="000E5C81"/>
    <w:rsid w:val="000E7550"/>
    <w:rsid w:val="000F01F8"/>
    <w:rsid w:val="000F14DE"/>
    <w:rsid w:val="000F3933"/>
    <w:rsid w:val="000F5E63"/>
    <w:rsid w:val="000F63F8"/>
    <w:rsid w:val="000F6B41"/>
    <w:rsid w:val="000F710A"/>
    <w:rsid w:val="000F7997"/>
    <w:rsid w:val="0010083D"/>
    <w:rsid w:val="0010151E"/>
    <w:rsid w:val="00101F47"/>
    <w:rsid w:val="00102D7D"/>
    <w:rsid w:val="0010334D"/>
    <w:rsid w:val="00104AE3"/>
    <w:rsid w:val="00105BC5"/>
    <w:rsid w:val="00105DBA"/>
    <w:rsid w:val="00107A8F"/>
    <w:rsid w:val="00107D0E"/>
    <w:rsid w:val="00110532"/>
    <w:rsid w:val="00111924"/>
    <w:rsid w:val="00112466"/>
    <w:rsid w:val="00114B91"/>
    <w:rsid w:val="00114C91"/>
    <w:rsid w:val="00114DA3"/>
    <w:rsid w:val="00115A38"/>
    <w:rsid w:val="001165DF"/>
    <w:rsid w:val="00117894"/>
    <w:rsid w:val="001206E8"/>
    <w:rsid w:val="00120994"/>
    <w:rsid w:val="00120F5F"/>
    <w:rsid w:val="001229C0"/>
    <w:rsid w:val="00122BF8"/>
    <w:rsid w:val="00122FF0"/>
    <w:rsid w:val="001230FA"/>
    <w:rsid w:val="001238B3"/>
    <w:rsid w:val="001240DC"/>
    <w:rsid w:val="00127DA3"/>
    <w:rsid w:val="0013012A"/>
    <w:rsid w:val="0013108E"/>
    <w:rsid w:val="0013188F"/>
    <w:rsid w:val="00132513"/>
    <w:rsid w:val="00132C46"/>
    <w:rsid w:val="00133A98"/>
    <w:rsid w:val="00134816"/>
    <w:rsid w:val="00134D0D"/>
    <w:rsid w:val="00136D72"/>
    <w:rsid w:val="00140623"/>
    <w:rsid w:val="00140C16"/>
    <w:rsid w:val="00140FC6"/>
    <w:rsid w:val="001426A1"/>
    <w:rsid w:val="00143858"/>
    <w:rsid w:val="0014491A"/>
    <w:rsid w:val="00145B74"/>
    <w:rsid w:val="00145C7A"/>
    <w:rsid w:val="00146270"/>
    <w:rsid w:val="001463AA"/>
    <w:rsid w:val="0014652A"/>
    <w:rsid w:val="00147E9D"/>
    <w:rsid w:val="0015012D"/>
    <w:rsid w:val="00150793"/>
    <w:rsid w:val="0015239F"/>
    <w:rsid w:val="00153324"/>
    <w:rsid w:val="00153372"/>
    <w:rsid w:val="0015360F"/>
    <w:rsid w:val="00153B36"/>
    <w:rsid w:val="001555A3"/>
    <w:rsid w:val="0015567C"/>
    <w:rsid w:val="00155CA5"/>
    <w:rsid w:val="0015703C"/>
    <w:rsid w:val="00157BAA"/>
    <w:rsid w:val="00160C6E"/>
    <w:rsid w:val="00163039"/>
    <w:rsid w:val="0016322A"/>
    <w:rsid w:val="00163FF4"/>
    <w:rsid w:val="00164F93"/>
    <w:rsid w:val="001672C9"/>
    <w:rsid w:val="00170A9B"/>
    <w:rsid w:val="00171F1B"/>
    <w:rsid w:val="00173CA9"/>
    <w:rsid w:val="00174A0E"/>
    <w:rsid w:val="001803C6"/>
    <w:rsid w:val="001809DD"/>
    <w:rsid w:val="00181817"/>
    <w:rsid w:val="00182F83"/>
    <w:rsid w:val="001841A3"/>
    <w:rsid w:val="00184772"/>
    <w:rsid w:val="00185550"/>
    <w:rsid w:val="001870EA"/>
    <w:rsid w:val="001872DE"/>
    <w:rsid w:val="00187910"/>
    <w:rsid w:val="001900BC"/>
    <w:rsid w:val="001913BE"/>
    <w:rsid w:val="00191729"/>
    <w:rsid w:val="00192304"/>
    <w:rsid w:val="001937FC"/>
    <w:rsid w:val="00193FEC"/>
    <w:rsid w:val="0019463B"/>
    <w:rsid w:val="00194E7E"/>
    <w:rsid w:val="0019622B"/>
    <w:rsid w:val="0019668B"/>
    <w:rsid w:val="00196B23"/>
    <w:rsid w:val="00196BF3"/>
    <w:rsid w:val="00197341"/>
    <w:rsid w:val="00197D76"/>
    <w:rsid w:val="001A1923"/>
    <w:rsid w:val="001A2046"/>
    <w:rsid w:val="001A3F3C"/>
    <w:rsid w:val="001A401F"/>
    <w:rsid w:val="001B0DFB"/>
    <w:rsid w:val="001B1298"/>
    <w:rsid w:val="001B12C9"/>
    <w:rsid w:val="001B28BE"/>
    <w:rsid w:val="001B28DF"/>
    <w:rsid w:val="001B323A"/>
    <w:rsid w:val="001B4778"/>
    <w:rsid w:val="001B5560"/>
    <w:rsid w:val="001B5A25"/>
    <w:rsid w:val="001B6E32"/>
    <w:rsid w:val="001B78D0"/>
    <w:rsid w:val="001C0DBA"/>
    <w:rsid w:val="001C1618"/>
    <w:rsid w:val="001C2BD7"/>
    <w:rsid w:val="001C38C0"/>
    <w:rsid w:val="001C3D0D"/>
    <w:rsid w:val="001C4446"/>
    <w:rsid w:val="001C4A79"/>
    <w:rsid w:val="001C5EF4"/>
    <w:rsid w:val="001C6B64"/>
    <w:rsid w:val="001C7016"/>
    <w:rsid w:val="001C715B"/>
    <w:rsid w:val="001D07E2"/>
    <w:rsid w:val="001D2D3A"/>
    <w:rsid w:val="001D3D5A"/>
    <w:rsid w:val="001D4176"/>
    <w:rsid w:val="001D4612"/>
    <w:rsid w:val="001D6C95"/>
    <w:rsid w:val="001E1D24"/>
    <w:rsid w:val="001E204F"/>
    <w:rsid w:val="001E2201"/>
    <w:rsid w:val="001E3A2D"/>
    <w:rsid w:val="001E3B4F"/>
    <w:rsid w:val="001E5377"/>
    <w:rsid w:val="001E618C"/>
    <w:rsid w:val="001E6D64"/>
    <w:rsid w:val="001E6EEC"/>
    <w:rsid w:val="001E7ABC"/>
    <w:rsid w:val="001F02B0"/>
    <w:rsid w:val="001F035E"/>
    <w:rsid w:val="001F0947"/>
    <w:rsid w:val="001F360F"/>
    <w:rsid w:val="001F4238"/>
    <w:rsid w:val="001F51CE"/>
    <w:rsid w:val="001F5FA7"/>
    <w:rsid w:val="001F6C66"/>
    <w:rsid w:val="002004D0"/>
    <w:rsid w:val="00201259"/>
    <w:rsid w:val="0020160C"/>
    <w:rsid w:val="002017DA"/>
    <w:rsid w:val="002037F0"/>
    <w:rsid w:val="00205248"/>
    <w:rsid w:val="002100D1"/>
    <w:rsid w:val="00210BB6"/>
    <w:rsid w:val="00211699"/>
    <w:rsid w:val="002159FF"/>
    <w:rsid w:val="0021655B"/>
    <w:rsid w:val="002165A7"/>
    <w:rsid w:val="002176FF"/>
    <w:rsid w:val="00220049"/>
    <w:rsid w:val="00220198"/>
    <w:rsid w:val="00220B34"/>
    <w:rsid w:val="00221BD9"/>
    <w:rsid w:val="0022228B"/>
    <w:rsid w:val="00222828"/>
    <w:rsid w:val="00223AA5"/>
    <w:rsid w:val="002240BF"/>
    <w:rsid w:val="00224172"/>
    <w:rsid w:val="00224200"/>
    <w:rsid w:val="00224D62"/>
    <w:rsid w:val="00225C94"/>
    <w:rsid w:val="00225EAB"/>
    <w:rsid w:val="00231169"/>
    <w:rsid w:val="00232025"/>
    <w:rsid w:val="002324C2"/>
    <w:rsid w:val="00232AD1"/>
    <w:rsid w:val="00233409"/>
    <w:rsid w:val="002344B4"/>
    <w:rsid w:val="002435FF"/>
    <w:rsid w:val="002461F3"/>
    <w:rsid w:val="00246537"/>
    <w:rsid w:val="002468FA"/>
    <w:rsid w:val="00247BF3"/>
    <w:rsid w:val="00250B71"/>
    <w:rsid w:val="00251AB4"/>
    <w:rsid w:val="00251BC3"/>
    <w:rsid w:val="00251DFD"/>
    <w:rsid w:val="002544A1"/>
    <w:rsid w:val="00254B96"/>
    <w:rsid w:val="00254DC4"/>
    <w:rsid w:val="002561AF"/>
    <w:rsid w:val="00260725"/>
    <w:rsid w:val="0026175F"/>
    <w:rsid w:val="00264B59"/>
    <w:rsid w:val="00264CA5"/>
    <w:rsid w:val="00265258"/>
    <w:rsid w:val="0026770E"/>
    <w:rsid w:val="002729E1"/>
    <w:rsid w:val="00273CDD"/>
    <w:rsid w:val="00276E88"/>
    <w:rsid w:val="0028056C"/>
    <w:rsid w:val="00281C85"/>
    <w:rsid w:val="00281D13"/>
    <w:rsid w:val="002840DA"/>
    <w:rsid w:val="0028580C"/>
    <w:rsid w:val="002865DB"/>
    <w:rsid w:val="00286DDC"/>
    <w:rsid w:val="00286F4C"/>
    <w:rsid w:val="00287149"/>
    <w:rsid w:val="00287317"/>
    <w:rsid w:val="00292F9D"/>
    <w:rsid w:val="00294C09"/>
    <w:rsid w:val="0029652D"/>
    <w:rsid w:val="00296EB1"/>
    <w:rsid w:val="00297CF3"/>
    <w:rsid w:val="002A0CA5"/>
    <w:rsid w:val="002A2B85"/>
    <w:rsid w:val="002A456A"/>
    <w:rsid w:val="002A4DCE"/>
    <w:rsid w:val="002A4E6F"/>
    <w:rsid w:val="002A511D"/>
    <w:rsid w:val="002A58FF"/>
    <w:rsid w:val="002A6CD9"/>
    <w:rsid w:val="002A7387"/>
    <w:rsid w:val="002A765A"/>
    <w:rsid w:val="002A774F"/>
    <w:rsid w:val="002A7C81"/>
    <w:rsid w:val="002B0ABB"/>
    <w:rsid w:val="002B117E"/>
    <w:rsid w:val="002B1AC8"/>
    <w:rsid w:val="002B26ED"/>
    <w:rsid w:val="002B3DC6"/>
    <w:rsid w:val="002B48F5"/>
    <w:rsid w:val="002C06B3"/>
    <w:rsid w:val="002C2F78"/>
    <w:rsid w:val="002C3B46"/>
    <w:rsid w:val="002C41A1"/>
    <w:rsid w:val="002C444D"/>
    <w:rsid w:val="002C46BD"/>
    <w:rsid w:val="002C4B2E"/>
    <w:rsid w:val="002C67BC"/>
    <w:rsid w:val="002C692A"/>
    <w:rsid w:val="002C726A"/>
    <w:rsid w:val="002C78CD"/>
    <w:rsid w:val="002D10C7"/>
    <w:rsid w:val="002D1A79"/>
    <w:rsid w:val="002D1CB8"/>
    <w:rsid w:val="002D2244"/>
    <w:rsid w:val="002D32B4"/>
    <w:rsid w:val="002D3AB3"/>
    <w:rsid w:val="002D3E6F"/>
    <w:rsid w:val="002D5AB7"/>
    <w:rsid w:val="002D5D64"/>
    <w:rsid w:val="002D60DC"/>
    <w:rsid w:val="002D6366"/>
    <w:rsid w:val="002D6603"/>
    <w:rsid w:val="002D7761"/>
    <w:rsid w:val="002D7811"/>
    <w:rsid w:val="002E014C"/>
    <w:rsid w:val="002E0A89"/>
    <w:rsid w:val="002E133C"/>
    <w:rsid w:val="002E167A"/>
    <w:rsid w:val="002E1863"/>
    <w:rsid w:val="002E1B4B"/>
    <w:rsid w:val="002E1C33"/>
    <w:rsid w:val="002E2D6C"/>
    <w:rsid w:val="002E4D14"/>
    <w:rsid w:val="002E5D35"/>
    <w:rsid w:val="002F00AE"/>
    <w:rsid w:val="002F13F1"/>
    <w:rsid w:val="002F1BD3"/>
    <w:rsid w:val="002F1E70"/>
    <w:rsid w:val="002F34E2"/>
    <w:rsid w:val="002F350F"/>
    <w:rsid w:val="002F357E"/>
    <w:rsid w:val="002F4633"/>
    <w:rsid w:val="002F60EA"/>
    <w:rsid w:val="002F7481"/>
    <w:rsid w:val="0030022E"/>
    <w:rsid w:val="003002A1"/>
    <w:rsid w:val="00300FEF"/>
    <w:rsid w:val="00301B80"/>
    <w:rsid w:val="003039A0"/>
    <w:rsid w:val="003039E5"/>
    <w:rsid w:val="00305D34"/>
    <w:rsid w:val="0031022C"/>
    <w:rsid w:val="00310CBC"/>
    <w:rsid w:val="00310DF5"/>
    <w:rsid w:val="00314FD1"/>
    <w:rsid w:val="00315949"/>
    <w:rsid w:val="00316072"/>
    <w:rsid w:val="0031699D"/>
    <w:rsid w:val="00317706"/>
    <w:rsid w:val="00317722"/>
    <w:rsid w:val="00320B64"/>
    <w:rsid w:val="003230A7"/>
    <w:rsid w:val="003237FC"/>
    <w:rsid w:val="00323C0F"/>
    <w:rsid w:val="00324DE8"/>
    <w:rsid w:val="003316AB"/>
    <w:rsid w:val="00331AA9"/>
    <w:rsid w:val="00331EAF"/>
    <w:rsid w:val="00334897"/>
    <w:rsid w:val="0033512D"/>
    <w:rsid w:val="00335406"/>
    <w:rsid w:val="00335B02"/>
    <w:rsid w:val="00335CB4"/>
    <w:rsid w:val="00340419"/>
    <w:rsid w:val="0034110F"/>
    <w:rsid w:val="00343B90"/>
    <w:rsid w:val="00343D75"/>
    <w:rsid w:val="00346991"/>
    <w:rsid w:val="00346A5A"/>
    <w:rsid w:val="003471BF"/>
    <w:rsid w:val="003509C8"/>
    <w:rsid w:val="00350EDE"/>
    <w:rsid w:val="003516C8"/>
    <w:rsid w:val="00351CF7"/>
    <w:rsid w:val="00353699"/>
    <w:rsid w:val="00354574"/>
    <w:rsid w:val="00354AD5"/>
    <w:rsid w:val="00354C73"/>
    <w:rsid w:val="003562EF"/>
    <w:rsid w:val="003563F1"/>
    <w:rsid w:val="00356FD6"/>
    <w:rsid w:val="00357CD0"/>
    <w:rsid w:val="00357EDA"/>
    <w:rsid w:val="00357F76"/>
    <w:rsid w:val="00360EF1"/>
    <w:rsid w:val="0036158E"/>
    <w:rsid w:val="00362C61"/>
    <w:rsid w:val="00362F0D"/>
    <w:rsid w:val="00366FCF"/>
    <w:rsid w:val="003678F1"/>
    <w:rsid w:val="00367F91"/>
    <w:rsid w:val="00371795"/>
    <w:rsid w:val="00371C8B"/>
    <w:rsid w:val="00371CA0"/>
    <w:rsid w:val="003743C1"/>
    <w:rsid w:val="00376510"/>
    <w:rsid w:val="0037705E"/>
    <w:rsid w:val="00377934"/>
    <w:rsid w:val="003801DE"/>
    <w:rsid w:val="00381A62"/>
    <w:rsid w:val="00381C77"/>
    <w:rsid w:val="003831B4"/>
    <w:rsid w:val="00383DB6"/>
    <w:rsid w:val="0038417E"/>
    <w:rsid w:val="003842A6"/>
    <w:rsid w:val="003843B9"/>
    <w:rsid w:val="00385A16"/>
    <w:rsid w:val="00386CE1"/>
    <w:rsid w:val="00387A30"/>
    <w:rsid w:val="003915CD"/>
    <w:rsid w:val="00391AD5"/>
    <w:rsid w:val="003925CD"/>
    <w:rsid w:val="00393FF1"/>
    <w:rsid w:val="003954F5"/>
    <w:rsid w:val="0039671D"/>
    <w:rsid w:val="003A0569"/>
    <w:rsid w:val="003A1254"/>
    <w:rsid w:val="003A17CE"/>
    <w:rsid w:val="003A1DF9"/>
    <w:rsid w:val="003A39F8"/>
    <w:rsid w:val="003A3DB5"/>
    <w:rsid w:val="003A438E"/>
    <w:rsid w:val="003A526A"/>
    <w:rsid w:val="003A609A"/>
    <w:rsid w:val="003A6327"/>
    <w:rsid w:val="003A6FA6"/>
    <w:rsid w:val="003B0B6C"/>
    <w:rsid w:val="003B0BC0"/>
    <w:rsid w:val="003B27DC"/>
    <w:rsid w:val="003B323C"/>
    <w:rsid w:val="003B3A2B"/>
    <w:rsid w:val="003B3D4E"/>
    <w:rsid w:val="003B6C5C"/>
    <w:rsid w:val="003C1385"/>
    <w:rsid w:val="003C1474"/>
    <w:rsid w:val="003C1A59"/>
    <w:rsid w:val="003C26A7"/>
    <w:rsid w:val="003C3F7D"/>
    <w:rsid w:val="003C4C79"/>
    <w:rsid w:val="003C6A3D"/>
    <w:rsid w:val="003C732F"/>
    <w:rsid w:val="003D0A0C"/>
    <w:rsid w:val="003D2147"/>
    <w:rsid w:val="003D3084"/>
    <w:rsid w:val="003D3773"/>
    <w:rsid w:val="003D4D6E"/>
    <w:rsid w:val="003D5161"/>
    <w:rsid w:val="003D79BA"/>
    <w:rsid w:val="003D7D89"/>
    <w:rsid w:val="003D7DF3"/>
    <w:rsid w:val="003E0E23"/>
    <w:rsid w:val="003E1CA4"/>
    <w:rsid w:val="003E20B0"/>
    <w:rsid w:val="003E4105"/>
    <w:rsid w:val="003E4AB2"/>
    <w:rsid w:val="003E5579"/>
    <w:rsid w:val="003E5723"/>
    <w:rsid w:val="003E6922"/>
    <w:rsid w:val="003F0435"/>
    <w:rsid w:val="003F092E"/>
    <w:rsid w:val="003F0B0E"/>
    <w:rsid w:val="003F1699"/>
    <w:rsid w:val="003F16EB"/>
    <w:rsid w:val="003F4B90"/>
    <w:rsid w:val="003F4C4D"/>
    <w:rsid w:val="003F5715"/>
    <w:rsid w:val="003F5E1F"/>
    <w:rsid w:val="003F69B1"/>
    <w:rsid w:val="003F7781"/>
    <w:rsid w:val="00400187"/>
    <w:rsid w:val="0040145D"/>
    <w:rsid w:val="00403103"/>
    <w:rsid w:val="00403B14"/>
    <w:rsid w:val="00403D6A"/>
    <w:rsid w:val="004046CE"/>
    <w:rsid w:val="00405BDC"/>
    <w:rsid w:val="0040624C"/>
    <w:rsid w:val="00406A1E"/>
    <w:rsid w:val="00407799"/>
    <w:rsid w:val="00407CBA"/>
    <w:rsid w:val="00410D51"/>
    <w:rsid w:val="004111B5"/>
    <w:rsid w:val="00413E55"/>
    <w:rsid w:val="00414307"/>
    <w:rsid w:val="00414888"/>
    <w:rsid w:val="00415061"/>
    <w:rsid w:val="00417FDD"/>
    <w:rsid w:val="00420D88"/>
    <w:rsid w:val="00421454"/>
    <w:rsid w:val="00421FD3"/>
    <w:rsid w:val="00423525"/>
    <w:rsid w:val="00424ED0"/>
    <w:rsid w:val="004254ED"/>
    <w:rsid w:val="004257C0"/>
    <w:rsid w:val="00426125"/>
    <w:rsid w:val="00426690"/>
    <w:rsid w:val="00426FBB"/>
    <w:rsid w:val="00427BAE"/>
    <w:rsid w:val="00431CC9"/>
    <w:rsid w:val="00432A97"/>
    <w:rsid w:val="00432C17"/>
    <w:rsid w:val="0043355B"/>
    <w:rsid w:val="004403C2"/>
    <w:rsid w:val="00441553"/>
    <w:rsid w:val="004447A0"/>
    <w:rsid w:val="00444A09"/>
    <w:rsid w:val="004456D4"/>
    <w:rsid w:val="004502CE"/>
    <w:rsid w:val="00451B70"/>
    <w:rsid w:val="00451DCC"/>
    <w:rsid w:val="004520E7"/>
    <w:rsid w:val="00455EEB"/>
    <w:rsid w:val="004570BA"/>
    <w:rsid w:val="0045712C"/>
    <w:rsid w:val="004577D9"/>
    <w:rsid w:val="00460487"/>
    <w:rsid w:val="004618B3"/>
    <w:rsid w:val="00461B09"/>
    <w:rsid w:val="00461B93"/>
    <w:rsid w:val="00461EDA"/>
    <w:rsid w:val="00462377"/>
    <w:rsid w:val="00463522"/>
    <w:rsid w:val="00464A37"/>
    <w:rsid w:val="00465287"/>
    <w:rsid w:val="004663D0"/>
    <w:rsid w:val="00466D17"/>
    <w:rsid w:val="004677B3"/>
    <w:rsid w:val="0047256D"/>
    <w:rsid w:val="00472ADC"/>
    <w:rsid w:val="00474123"/>
    <w:rsid w:val="0047460B"/>
    <w:rsid w:val="0047498D"/>
    <w:rsid w:val="004765C0"/>
    <w:rsid w:val="00477408"/>
    <w:rsid w:val="00480DBB"/>
    <w:rsid w:val="00482D9C"/>
    <w:rsid w:val="004839B3"/>
    <w:rsid w:val="00484EC8"/>
    <w:rsid w:val="00485921"/>
    <w:rsid w:val="00490A0A"/>
    <w:rsid w:val="00490E50"/>
    <w:rsid w:val="004911F6"/>
    <w:rsid w:val="00493F0B"/>
    <w:rsid w:val="00494B39"/>
    <w:rsid w:val="00494CDB"/>
    <w:rsid w:val="00494DEE"/>
    <w:rsid w:val="004953D6"/>
    <w:rsid w:val="004971A0"/>
    <w:rsid w:val="004A18D8"/>
    <w:rsid w:val="004A2434"/>
    <w:rsid w:val="004A26CC"/>
    <w:rsid w:val="004A2883"/>
    <w:rsid w:val="004A2EB4"/>
    <w:rsid w:val="004A55BD"/>
    <w:rsid w:val="004A616D"/>
    <w:rsid w:val="004A6734"/>
    <w:rsid w:val="004A6DD0"/>
    <w:rsid w:val="004A72E7"/>
    <w:rsid w:val="004A7502"/>
    <w:rsid w:val="004B00C0"/>
    <w:rsid w:val="004B091C"/>
    <w:rsid w:val="004B094C"/>
    <w:rsid w:val="004B2A91"/>
    <w:rsid w:val="004B2E4D"/>
    <w:rsid w:val="004B37DB"/>
    <w:rsid w:val="004B3B74"/>
    <w:rsid w:val="004B53BD"/>
    <w:rsid w:val="004B58D9"/>
    <w:rsid w:val="004B5B96"/>
    <w:rsid w:val="004B68BC"/>
    <w:rsid w:val="004C16A5"/>
    <w:rsid w:val="004C17E3"/>
    <w:rsid w:val="004C2184"/>
    <w:rsid w:val="004C2210"/>
    <w:rsid w:val="004C3559"/>
    <w:rsid w:val="004C4DCB"/>
    <w:rsid w:val="004D0143"/>
    <w:rsid w:val="004D57F0"/>
    <w:rsid w:val="004D7588"/>
    <w:rsid w:val="004E1EE3"/>
    <w:rsid w:val="004E20FB"/>
    <w:rsid w:val="004E2222"/>
    <w:rsid w:val="004E357E"/>
    <w:rsid w:val="004E3BA9"/>
    <w:rsid w:val="004E3D86"/>
    <w:rsid w:val="004E41E2"/>
    <w:rsid w:val="004E4296"/>
    <w:rsid w:val="004E4608"/>
    <w:rsid w:val="004E61DC"/>
    <w:rsid w:val="004E7296"/>
    <w:rsid w:val="004E744B"/>
    <w:rsid w:val="004E783E"/>
    <w:rsid w:val="004F12DA"/>
    <w:rsid w:val="004F1701"/>
    <w:rsid w:val="004F28F6"/>
    <w:rsid w:val="004F2C33"/>
    <w:rsid w:val="004F5CB3"/>
    <w:rsid w:val="004F66F9"/>
    <w:rsid w:val="004F6A71"/>
    <w:rsid w:val="004F6F7D"/>
    <w:rsid w:val="004F773C"/>
    <w:rsid w:val="004F78E9"/>
    <w:rsid w:val="004F7C2D"/>
    <w:rsid w:val="0050009A"/>
    <w:rsid w:val="005006E5"/>
    <w:rsid w:val="00503AE0"/>
    <w:rsid w:val="0050428A"/>
    <w:rsid w:val="00504F68"/>
    <w:rsid w:val="00505294"/>
    <w:rsid w:val="005054B4"/>
    <w:rsid w:val="005059BE"/>
    <w:rsid w:val="00506109"/>
    <w:rsid w:val="005105CD"/>
    <w:rsid w:val="00511E6D"/>
    <w:rsid w:val="005120AA"/>
    <w:rsid w:val="00512BF2"/>
    <w:rsid w:val="005130D7"/>
    <w:rsid w:val="00513815"/>
    <w:rsid w:val="00513DCB"/>
    <w:rsid w:val="005143D9"/>
    <w:rsid w:val="00514803"/>
    <w:rsid w:val="00514C7B"/>
    <w:rsid w:val="00515409"/>
    <w:rsid w:val="005155DE"/>
    <w:rsid w:val="00516DEA"/>
    <w:rsid w:val="00517465"/>
    <w:rsid w:val="005211E1"/>
    <w:rsid w:val="005214E7"/>
    <w:rsid w:val="005236E8"/>
    <w:rsid w:val="00526F1A"/>
    <w:rsid w:val="00527425"/>
    <w:rsid w:val="005308ED"/>
    <w:rsid w:val="00530F30"/>
    <w:rsid w:val="00531E6D"/>
    <w:rsid w:val="00532874"/>
    <w:rsid w:val="00533E05"/>
    <w:rsid w:val="00534314"/>
    <w:rsid w:val="005354A6"/>
    <w:rsid w:val="00535B74"/>
    <w:rsid w:val="00535D40"/>
    <w:rsid w:val="00542909"/>
    <w:rsid w:val="005429B5"/>
    <w:rsid w:val="00543A4D"/>
    <w:rsid w:val="00544EC4"/>
    <w:rsid w:val="00545276"/>
    <w:rsid w:val="005459D7"/>
    <w:rsid w:val="00546656"/>
    <w:rsid w:val="005469F1"/>
    <w:rsid w:val="00547597"/>
    <w:rsid w:val="005520BC"/>
    <w:rsid w:val="0055303B"/>
    <w:rsid w:val="0055436C"/>
    <w:rsid w:val="00555777"/>
    <w:rsid w:val="00555D94"/>
    <w:rsid w:val="00555DA1"/>
    <w:rsid w:val="0055608B"/>
    <w:rsid w:val="00556C03"/>
    <w:rsid w:val="00557298"/>
    <w:rsid w:val="00557572"/>
    <w:rsid w:val="00557C34"/>
    <w:rsid w:val="005606B8"/>
    <w:rsid w:val="0056087B"/>
    <w:rsid w:val="00562322"/>
    <w:rsid w:val="00562FF8"/>
    <w:rsid w:val="00563830"/>
    <w:rsid w:val="005640D0"/>
    <w:rsid w:val="00564B2B"/>
    <w:rsid w:val="0056504F"/>
    <w:rsid w:val="00565616"/>
    <w:rsid w:val="005663B4"/>
    <w:rsid w:val="00566883"/>
    <w:rsid w:val="00566CBE"/>
    <w:rsid w:val="00567167"/>
    <w:rsid w:val="00567362"/>
    <w:rsid w:val="00572059"/>
    <w:rsid w:val="005721CA"/>
    <w:rsid w:val="005734C6"/>
    <w:rsid w:val="005737D0"/>
    <w:rsid w:val="00574F9C"/>
    <w:rsid w:val="00576190"/>
    <w:rsid w:val="00577382"/>
    <w:rsid w:val="00577BA3"/>
    <w:rsid w:val="00577C2F"/>
    <w:rsid w:val="005805EA"/>
    <w:rsid w:val="0058146D"/>
    <w:rsid w:val="0058314E"/>
    <w:rsid w:val="005872C0"/>
    <w:rsid w:val="00587736"/>
    <w:rsid w:val="00591D92"/>
    <w:rsid w:val="005923D3"/>
    <w:rsid w:val="00592530"/>
    <w:rsid w:val="00594C0D"/>
    <w:rsid w:val="00595109"/>
    <w:rsid w:val="00597C51"/>
    <w:rsid w:val="005A16C9"/>
    <w:rsid w:val="005A20B0"/>
    <w:rsid w:val="005A274C"/>
    <w:rsid w:val="005A3DEC"/>
    <w:rsid w:val="005A3F81"/>
    <w:rsid w:val="005A41B5"/>
    <w:rsid w:val="005A46ED"/>
    <w:rsid w:val="005A77DB"/>
    <w:rsid w:val="005B04DD"/>
    <w:rsid w:val="005B12D7"/>
    <w:rsid w:val="005B16F6"/>
    <w:rsid w:val="005B295F"/>
    <w:rsid w:val="005B2D51"/>
    <w:rsid w:val="005B3A0B"/>
    <w:rsid w:val="005B5BC3"/>
    <w:rsid w:val="005C19BA"/>
    <w:rsid w:val="005C4A85"/>
    <w:rsid w:val="005C5181"/>
    <w:rsid w:val="005C5DC0"/>
    <w:rsid w:val="005C65A2"/>
    <w:rsid w:val="005C7FDC"/>
    <w:rsid w:val="005D0A13"/>
    <w:rsid w:val="005D0B02"/>
    <w:rsid w:val="005D1EF1"/>
    <w:rsid w:val="005D25AB"/>
    <w:rsid w:val="005D372C"/>
    <w:rsid w:val="005D4453"/>
    <w:rsid w:val="005D48A9"/>
    <w:rsid w:val="005D7B5F"/>
    <w:rsid w:val="005E1237"/>
    <w:rsid w:val="005E193C"/>
    <w:rsid w:val="005E3E01"/>
    <w:rsid w:val="005E5AA5"/>
    <w:rsid w:val="005E6032"/>
    <w:rsid w:val="005E65CF"/>
    <w:rsid w:val="005F094A"/>
    <w:rsid w:val="005F0DE2"/>
    <w:rsid w:val="005F1809"/>
    <w:rsid w:val="005F32EA"/>
    <w:rsid w:val="005F4898"/>
    <w:rsid w:val="005F4D8D"/>
    <w:rsid w:val="005F4E99"/>
    <w:rsid w:val="005F5F04"/>
    <w:rsid w:val="005F72FD"/>
    <w:rsid w:val="00602880"/>
    <w:rsid w:val="00602A97"/>
    <w:rsid w:val="0060349E"/>
    <w:rsid w:val="00603E76"/>
    <w:rsid w:val="00604433"/>
    <w:rsid w:val="00605952"/>
    <w:rsid w:val="00611000"/>
    <w:rsid w:val="00611ED1"/>
    <w:rsid w:val="006129D1"/>
    <w:rsid w:val="00614401"/>
    <w:rsid w:val="00616EAF"/>
    <w:rsid w:val="0061768E"/>
    <w:rsid w:val="00617A6B"/>
    <w:rsid w:val="0062025E"/>
    <w:rsid w:val="00620699"/>
    <w:rsid w:val="006245B9"/>
    <w:rsid w:val="00624939"/>
    <w:rsid w:val="00624D4F"/>
    <w:rsid w:val="006264AC"/>
    <w:rsid w:val="00626F8B"/>
    <w:rsid w:val="00631497"/>
    <w:rsid w:val="00632192"/>
    <w:rsid w:val="00632726"/>
    <w:rsid w:val="00632DB0"/>
    <w:rsid w:val="00634B34"/>
    <w:rsid w:val="00634E3D"/>
    <w:rsid w:val="006370FE"/>
    <w:rsid w:val="0063717F"/>
    <w:rsid w:val="00640587"/>
    <w:rsid w:val="00640EB2"/>
    <w:rsid w:val="00642A8A"/>
    <w:rsid w:val="006443BF"/>
    <w:rsid w:val="00645586"/>
    <w:rsid w:val="00645D75"/>
    <w:rsid w:val="00646FF6"/>
    <w:rsid w:val="006473BE"/>
    <w:rsid w:val="00647D01"/>
    <w:rsid w:val="00650195"/>
    <w:rsid w:val="006501A0"/>
    <w:rsid w:val="00650DA7"/>
    <w:rsid w:val="0065130E"/>
    <w:rsid w:val="006527A0"/>
    <w:rsid w:val="00652AD3"/>
    <w:rsid w:val="006535B8"/>
    <w:rsid w:val="00653938"/>
    <w:rsid w:val="00653E24"/>
    <w:rsid w:val="00654074"/>
    <w:rsid w:val="006545B8"/>
    <w:rsid w:val="00656171"/>
    <w:rsid w:val="006562F7"/>
    <w:rsid w:val="00656D11"/>
    <w:rsid w:val="0066004C"/>
    <w:rsid w:val="00661CF7"/>
    <w:rsid w:val="0066662E"/>
    <w:rsid w:val="006677D1"/>
    <w:rsid w:val="006713BC"/>
    <w:rsid w:val="006719BB"/>
    <w:rsid w:val="006719F5"/>
    <w:rsid w:val="00671AA6"/>
    <w:rsid w:val="00672704"/>
    <w:rsid w:val="006727EA"/>
    <w:rsid w:val="00673084"/>
    <w:rsid w:val="00673CAA"/>
    <w:rsid w:val="00674A07"/>
    <w:rsid w:val="006804AF"/>
    <w:rsid w:val="00681A02"/>
    <w:rsid w:val="00681CEA"/>
    <w:rsid w:val="00681EF1"/>
    <w:rsid w:val="00683D2B"/>
    <w:rsid w:val="00684039"/>
    <w:rsid w:val="00684ADC"/>
    <w:rsid w:val="006863D7"/>
    <w:rsid w:val="0068652D"/>
    <w:rsid w:val="006914A4"/>
    <w:rsid w:val="00691F43"/>
    <w:rsid w:val="00693132"/>
    <w:rsid w:val="006950B7"/>
    <w:rsid w:val="00695245"/>
    <w:rsid w:val="006953F8"/>
    <w:rsid w:val="00697003"/>
    <w:rsid w:val="00697417"/>
    <w:rsid w:val="006A0498"/>
    <w:rsid w:val="006A2BAE"/>
    <w:rsid w:val="006A472F"/>
    <w:rsid w:val="006A4AD7"/>
    <w:rsid w:val="006A4F81"/>
    <w:rsid w:val="006A6045"/>
    <w:rsid w:val="006A6B23"/>
    <w:rsid w:val="006A7A8C"/>
    <w:rsid w:val="006B049F"/>
    <w:rsid w:val="006B0FB3"/>
    <w:rsid w:val="006B1F64"/>
    <w:rsid w:val="006B219C"/>
    <w:rsid w:val="006B3025"/>
    <w:rsid w:val="006B305E"/>
    <w:rsid w:val="006B31A2"/>
    <w:rsid w:val="006B33C9"/>
    <w:rsid w:val="006B429D"/>
    <w:rsid w:val="006B4AA9"/>
    <w:rsid w:val="006B4AB1"/>
    <w:rsid w:val="006B5C03"/>
    <w:rsid w:val="006C0D0F"/>
    <w:rsid w:val="006C12F1"/>
    <w:rsid w:val="006C2283"/>
    <w:rsid w:val="006C2B44"/>
    <w:rsid w:val="006C41F5"/>
    <w:rsid w:val="006C4595"/>
    <w:rsid w:val="006C5207"/>
    <w:rsid w:val="006C53C4"/>
    <w:rsid w:val="006C5444"/>
    <w:rsid w:val="006C5563"/>
    <w:rsid w:val="006C5FEA"/>
    <w:rsid w:val="006C6121"/>
    <w:rsid w:val="006C687E"/>
    <w:rsid w:val="006C7DB1"/>
    <w:rsid w:val="006D0178"/>
    <w:rsid w:val="006D0868"/>
    <w:rsid w:val="006D2B7D"/>
    <w:rsid w:val="006D3685"/>
    <w:rsid w:val="006D634E"/>
    <w:rsid w:val="006D699E"/>
    <w:rsid w:val="006D7F7E"/>
    <w:rsid w:val="006E39BA"/>
    <w:rsid w:val="006E40D3"/>
    <w:rsid w:val="006E4302"/>
    <w:rsid w:val="006E610B"/>
    <w:rsid w:val="006E6110"/>
    <w:rsid w:val="006E79AA"/>
    <w:rsid w:val="006F06F9"/>
    <w:rsid w:val="006F0956"/>
    <w:rsid w:val="006F1ACA"/>
    <w:rsid w:val="006F2B00"/>
    <w:rsid w:val="006F2D04"/>
    <w:rsid w:val="006F2E24"/>
    <w:rsid w:val="006F473E"/>
    <w:rsid w:val="006F54FB"/>
    <w:rsid w:val="006F62E1"/>
    <w:rsid w:val="006F6A08"/>
    <w:rsid w:val="006F78F7"/>
    <w:rsid w:val="007052A0"/>
    <w:rsid w:val="00705742"/>
    <w:rsid w:val="00705A8F"/>
    <w:rsid w:val="007065A0"/>
    <w:rsid w:val="00706BAB"/>
    <w:rsid w:val="00706BC7"/>
    <w:rsid w:val="00706FC4"/>
    <w:rsid w:val="00711112"/>
    <w:rsid w:val="0071158F"/>
    <w:rsid w:val="0071196D"/>
    <w:rsid w:val="007119CE"/>
    <w:rsid w:val="00712AB9"/>
    <w:rsid w:val="00713716"/>
    <w:rsid w:val="007166BE"/>
    <w:rsid w:val="00716FD1"/>
    <w:rsid w:val="007174EF"/>
    <w:rsid w:val="00720CFE"/>
    <w:rsid w:val="007230F0"/>
    <w:rsid w:val="0072415A"/>
    <w:rsid w:val="007249C1"/>
    <w:rsid w:val="00725198"/>
    <w:rsid w:val="00725A63"/>
    <w:rsid w:val="0072657E"/>
    <w:rsid w:val="00726B8F"/>
    <w:rsid w:val="00726CC1"/>
    <w:rsid w:val="00727BB0"/>
    <w:rsid w:val="00730905"/>
    <w:rsid w:val="00732333"/>
    <w:rsid w:val="007325F5"/>
    <w:rsid w:val="007346A0"/>
    <w:rsid w:val="007356E1"/>
    <w:rsid w:val="007367D8"/>
    <w:rsid w:val="0073696E"/>
    <w:rsid w:val="00736F78"/>
    <w:rsid w:val="0073780F"/>
    <w:rsid w:val="00740171"/>
    <w:rsid w:val="00742622"/>
    <w:rsid w:val="0074332B"/>
    <w:rsid w:val="007438B0"/>
    <w:rsid w:val="00745178"/>
    <w:rsid w:val="0074571D"/>
    <w:rsid w:val="0074672B"/>
    <w:rsid w:val="007475D4"/>
    <w:rsid w:val="00747D6D"/>
    <w:rsid w:val="007504F6"/>
    <w:rsid w:val="00751149"/>
    <w:rsid w:val="00751A6C"/>
    <w:rsid w:val="00752924"/>
    <w:rsid w:val="00756767"/>
    <w:rsid w:val="0075747D"/>
    <w:rsid w:val="0075750F"/>
    <w:rsid w:val="00762296"/>
    <w:rsid w:val="00763CDA"/>
    <w:rsid w:val="007648E1"/>
    <w:rsid w:val="00765E74"/>
    <w:rsid w:val="00765EB0"/>
    <w:rsid w:val="00765EE2"/>
    <w:rsid w:val="007677E4"/>
    <w:rsid w:val="007679EE"/>
    <w:rsid w:val="0077046C"/>
    <w:rsid w:val="007717A3"/>
    <w:rsid w:val="00773B08"/>
    <w:rsid w:val="00775DB3"/>
    <w:rsid w:val="00776DE2"/>
    <w:rsid w:val="0077702A"/>
    <w:rsid w:val="00777262"/>
    <w:rsid w:val="00777947"/>
    <w:rsid w:val="00780A6B"/>
    <w:rsid w:val="00782CB0"/>
    <w:rsid w:val="00786A22"/>
    <w:rsid w:val="00790264"/>
    <w:rsid w:val="007926E1"/>
    <w:rsid w:val="007926FE"/>
    <w:rsid w:val="00792E19"/>
    <w:rsid w:val="00794AD5"/>
    <w:rsid w:val="00794D69"/>
    <w:rsid w:val="00795148"/>
    <w:rsid w:val="00796B2A"/>
    <w:rsid w:val="00796B2D"/>
    <w:rsid w:val="007A0836"/>
    <w:rsid w:val="007A2EE8"/>
    <w:rsid w:val="007A370E"/>
    <w:rsid w:val="007A3809"/>
    <w:rsid w:val="007A4076"/>
    <w:rsid w:val="007A46F7"/>
    <w:rsid w:val="007A4A70"/>
    <w:rsid w:val="007A69CF"/>
    <w:rsid w:val="007A71BA"/>
    <w:rsid w:val="007B0970"/>
    <w:rsid w:val="007B17AC"/>
    <w:rsid w:val="007B38C1"/>
    <w:rsid w:val="007B417F"/>
    <w:rsid w:val="007B42BC"/>
    <w:rsid w:val="007B5130"/>
    <w:rsid w:val="007B6090"/>
    <w:rsid w:val="007B6CD5"/>
    <w:rsid w:val="007C1750"/>
    <w:rsid w:val="007C2D40"/>
    <w:rsid w:val="007C2E0F"/>
    <w:rsid w:val="007C2EE2"/>
    <w:rsid w:val="007C3E32"/>
    <w:rsid w:val="007C47E2"/>
    <w:rsid w:val="007C5165"/>
    <w:rsid w:val="007C62EB"/>
    <w:rsid w:val="007D10E6"/>
    <w:rsid w:val="007D198D"/>
    <w:rsid w:val="007D375C"/>
    <w:rsid w:val="007D386B"/>
    <w:rsid w:val="007D4E4B"/>
    <w:rsid w:val="007D5308"/>
    <w:rsid w:val="007D5558"/>
    <w:rsid w:val="007D5A06"/>
    <w:rsid w:val="007D77A2"/>
    <w:rsid w:val="007D7ED6"/>
    <w:rsid w:val="007E09E3"/>
    <w:rsid w:val="007E1389"/>
    <w:rsid w:val="007E18DC"/>
    <w:rsid w:val="007E223F"/>
    <w:rsid w:val="007E2644"/>
    <w:rsid w:val="007E2ACD"/>
    <w:rsid w:val="007E33C0"/>
    <w:rsid w:val="007E41A4"/>
    <w:rsid w:val="007E613E"/>
    <w:rsid w:val="007E677E"/>
    <w:rsid w:val="007E7017"/>
    <w:rsid w:val="007E7147"/>
    <w:rsid w:val="007F0034"/>
    <w:rsid w:val="007F0AFE"/>
    <w:rsid w:val="007F1883"/>
    <w:rsid w:val="007F18B6"/>
    <w:rsid w:val="007F3EAA"/>
    <w:rsid w:val="007F4A2F"/>
    <w:rsid w:val="007F4C9D"/>
    <w:rsid w:val="007F5B1E"/>
    <w:rsid w:val="007F6CA8"/>
    <w:rsid w:val="00800DF2"/>
    <w:rsid w:val="00802BCE"/>
    <w:rsid w:val="00803FA0"/>
    <w:rsid w:val="008042B7"/>
    <w:rsid w:val="00805F96"/>
    <w:rsid w:val="0080679C"/>
    <w:rsid w:val="00807AB6"/>
    <w:rsid w:val="00807EDC"/>
    <w:rsid w:val="008101F7"/>
    <w:rsid w:val="00810864"/>
    <w:rsid w:val="00810B3F"/>
    <w:rsid w:val="00812085"/>
    <w:rsid w:val="008130F9"/>
    <w:rsid w:val="0081361D"/>
    <w:rsid w:val="00813E6E"/>
    <w:rsid w:val="008141B5"/>
    <w:rsid w:val="0081427D"/>
    <w:rsid w:val="00815470"/>
    <w:rsid w:val="00816332"/>
    <w:rsid w:val="00820070"/>
    <w:rsid w:val="00820BB8"/>
    <w:rsid w:val="00820DF7"/>
    <w:rsid w:val="008229DC"/>
    <w:rsid w:val="00823EFF"/>
    <w:rsid w:val="0082427A"/>
    <w:rsid w:val="008247C6"/>
    <w:rsid w:val="00825805"/>
    <w:rsid w:val="008319D2"/>
    <w:rsid w:val="008326A5"/>
    <w:rsid w:val="00832D0A"/>
    <w:rsid w:val="0083576E"/>
    <w:rsid w:val="008357E8"/>
    <w:rsid w:val="0084076A"/>
    <w:rsid w:val="00843C45"/>
    <w:rsid w:val="00846E38"/>
    <w:rsid w:val="008474D2"/>
    <w:rsid w:val="00847597"/>
    <w:rsid w:val="008500A7"/>
    <w:rsid w:val="00851304"/>
    <w:rsid w:val="00851CCA"/>
    <w:rsid w:val="008526A7"/>
    <w:rsid w:val="00853AE5"/>
    <w:rsid w:val="0085477D"/>
    <w:rsid w:val="00856932"/>
    <w:rsid w:val="00856A98"/>
    <w:rsid w:val="00856D69"/>
    <w:rsid w:val="00856DA3"/>
    <w:rsid w:val="008575A4"/>
    <w:rsid w:val="00861436"/>
    <w:rsid w:val="00861F6B"/>
    <w:rsid w:val="0086307C"/>
    <w:rsid w:val="008642DA"/>
    <w:rsid w:val="00864692"/>
    <w:rsid w:val="00866470"/>
    <w:rsid w:val="0086788B"/>
    <w:rsid w:val="0087073A"/>
    <w:rsid w:val="00870CFC"/>
    <w:rsid w:val="00870F64"/>
    <w:rsid w:val="008735EB"/>
    <w:rsid w:val="00874B57"/>
    <w:rsid w:val="00876844"/>
    <w:rsid w:val="00876DCB"/>
    <w:rsid w:val="00880043"/>
    <w:rsid w:val="00880D79"/>
    <w:rsid w:val="00881457"/>
    <w:rsid w:val="00882496"/>
    <w:rsid w:val="0088260E"/>
    <w:rsid w:val="00882AE4"/>
    <w:rsid w:val="00882AF1"/>
    <w:rsid w:val="00882D94"/>
    <w:rsid w:val="00885E1D"/>
    <w:rsid w:val="008871A2"/>
    <w:rsid w:val="0088775E"/>
    <w:rsid w:val="00890C80"/>
    <w:rsid w:val="00890D6F"/>
    <w:rsid w:val="00891A50"/>
    <w:rsid w:val="00893506"/>
    <w:rsid w:val="008956DC"/>
    <w:rsid w:val="00895A9C"/>
    <w:rsid w:val="00896804"/>
    <w:rsid w:val="00896B73"/>
    <w:rsid w:val="00897668"/>
    <w:rsid w:val="008A0169"/>
    <w:rsid w:val="008A1D5D"/>
    <w:rsid w:val="008A2181"/>
    <w:rsid w:val="008A487E"/>
    <w:rsid w:val="008A581B"/>
    <w:rsid w:val="008A7C8A"/>
    <w:rsid w:val="008B152A"/>
    <w:rsid w:val="008B1995"/>
    <w:rsid w:val="008B2032"/>
    <w:rsid w:val="008B2FDA"/>
    <w:rsid w:val="008B34E4"/>
    <w:rsid w:val="008B4187"/>
    <w:rsid w:val="008B4249"/>
    <w:rsid w:val="008B434F"/>
    <w:rsid w:val="008B4C45"/>
    <w:rsid w:val="008B5293"/>
    <w:rsid w:val="008B54C9"/>
    <w:rsid w:val="008B61D4"/>
    <w:rsid w:val="008B6869"/>
    <w:rsid w:val="008B6BE5"/>
    <w:rsid w:val="008B7D52"/>
    <w:rsid w:val="008C0486"/>
    <w:rsid w:val="008C19AF"/>
    <w:rsid w:val="008C26EA"/>
    <w:rsid w:val="008C3E2C"/>
    <w:rsid w:val="008C49B5"/>
    <w:rsid w:val="008C4F4F"/>
    <w:rsid w:val="008C5940"/>
    <w:rsid w:val="008C6A1B"/>
    <w:rsid w:val="008D1682"/>
    <w:rsid w:val="008D19D8"/>
    <w:rsid w:val="008D2278"/>
    <w:rsid w:val="008D2793"/>
    <w:rsid w:val="008D3C8A"/>
    <w:rsid w:val="008D3EBE"/>
    <w:rsid w:val="008D3F94"/>
    <w:rsid w:val="008D721F"/>
    <w:rsid w:val="008E1E41"/>
    <w:rsid w:val="008E3862"/>
    <w:rsid w:val="008E464C"/>
    <w:rsid w:val="008E4827"/>
    <w:rsid w:val="008E758F"/>
    <w:rsid w:val="008E75BD"/>
    <w:rsid w:val="008F131B"/>
    <w:rsid w:val="008F16AC"/>
    <w:rsid w:val="008F1D1A"/>
    <w:rsid w:val="008F1F3B"/>
    <w:rsid w:val="008F2E73"/>
    <w:rsid w:val="008F3782"/>
    <w:rsid w:val="008F4F88"/>
    <w:rsid w:val="008F5DE5"/>
    <w:rsid w:val="008F791D"/>
    <w:rsid w:val="008F7D91"/>
    <w:rsid w:val="00900586"/>
    <w:rsid w:val="009006EA"/>
    <w:rsid w:val="00900DC1"/>
    <w:rsid w:val="009036FB"/>
    <w:rsid w:val="0090392D"/>
    <w:rsid w:val="00905318"/>
    <w:rsid w:val="00905443"/>
    <w:rsid w:val="00905697"/>
    <w:rsid w:val="00907A9D"/>
    <w:rsid w:val="0091059B"/>
    <w:rsid w:val="00910D80"/>
    <w:rsid w:val="00911FF4"/>
    <w:rsid w:val="00913895"/>
    <w:rsid w:val="00913956"/>
    <w:rsid w:val="00913E68"/>
    <w:rsid w:val="009170CA"/>
    <w:rsid w:val="0091749B"/>
    <w:rsid w:val="0092014F"/>
    <w:rsid w:val="009206A3"/>
    <w:rsid w:val="009206AA"/>
    <w:rsid w:val="009207F4"/>
    <w:rsid w:val="00921173"/>
    <w:rsid w:val="00921D67"/>
    <w:rsid w:val="0092340C"/>
    <w:rsid w:val="00924D64"/>
    <w:rsid w:val="00925EA0"/>
    <w:rsid w:val="00927A18"/>
    <w:rsid w:val="0093080D"/>
    <w:rsid w:val="00932E54"/>
    <w:rsid w:val="00934346"/>
    <w:rsid w:val="009349EB"/>
    <w:rsid w:val="0093512B"/>
    <w:rsid w:val="009353EB"/>
    <w:rsid w:val="009368AF"/>
    <w:rsid w:val="0094080A"/>
    <w:rsid w:val="00940E62"/>
    <w:rsid w:val="00941188"/>
    <w:rsid w:val="00943DF0"/>
    <w:rsid w:val="009446A6"/>
    <w:rsid w:val="00944C00"/>
    <w:rsid w:val="00944DD0"/>
    <w:rsid w:val="0094584C"/>
    <w:rsid w:val="00945893"/>
    <w:rsid w:val="00950D51"/>
    <w:rsid w:val="00951ADE"/>
    <w:rsid w:val="00952FF6"/>
    <w:rsid w:val="0095477E"/>
    <w:rsid w:val="009609FD"/>
    <w:rsid w:val="00960A42"/>
    <w:rsid w:val="00960B9C"/>
    <w:rsid w:val="00960FC3"/>
    <w:rsid w:val="009617CD"/>
    <w:rsid w:val="009620BF"/>
    <w:rsid w:val="009636AD"/>
    <w:rsid w:val="00963C4F"/>
    <w:rsid w:val="009641E6"/>
    <w:rsid w:val="009646EB"/>
    <w:rsid w:val="00964867"/>
    <w:rsid w:val="0096511E"/>
    <w:rsid w:val="009655EE"/>
    <w:rsid w:val="00965C67"/>
    <w:rsid w:val="00967E7B"/>
    <w:rsid w:val="0097018B"/>
    <w:rsid w:val="00975A67"/>
    <w:rsid w:val="00981747"/>
    <w:rsid w:val="009818D0"/>
    <w:rsid w:val="00981CA1"/>
    <w:rsid w:val="009820F3"/>
    <w:rsid w:val="00984551"/>
    <w:rsid w:val="00985F9E"/>
    <w:rsid w:val="00987D90"/>
    <w:rsid w:val="0099197B"/>
    <w:rsid w:val="00991E55"/>
    <w:rsid w:val="009931B1"/>
    <w:rsid w:val="009948EF"/>
    <w:rsid w:val="00994A71"/>
    <w:rsid w:val="00996627"/>
    <w:rsid w:val="00996912"/>
    <w:rsid w:val="0099695F"/>
    <w:rsid w:val="009971B3"/>
    <w:rsid w:val="00997DC5"/>
    <w:rsid w:val="009A1243"/>
    <w:rsid w:val="009A12AA"/>
    <w:rsid w:val="009A16CA"/>
    <w:rsid w:val="009A182D"/>
    <w:rsid w:val="009A19D6"/>
    <w:rsid w:val="009A25A7"/>
    <w:rsid w:val="009A3C9A"/>
    <w:rsid w:val="009A4AAF"/>
    <w:rsid w:val="009A5CF5"/>
    <w:rsid w:val="009B1077"/>
    <w:rsid w:val="009B148A"/>
    <w:rsid w:val="009B2FDB"/>
    <w:rsid w:val="009B3FD6"/>
    <w:rsid w:val="009B4662"/>
    <w:rsid w:val="009B53D4"/>
    <w:rsid w:val="009B6203"/>
    <w:rsid w:val="009B6510"/>
    <w:rsid w:val="009C0659"/>
    <w:rsid w:val="009C1355"/>
    <w:rsid w:val="009C17BB"/>
    <w:rsid w:val="009C1AF0"/>
    <w:rsid w:val="009D23D6"/>
    <w:rsid w:val="009D3E5D"/>
    <w:rsid w:val="009D4C0D"/>
    <w:rsid w:val="009D718F"/>
    <w:rsid w:val="009E26CF"/>
    <w:rsid w:val="009E27A5"/>
    <w:rsid w:val="009E3662"/>
    <w:rsid w:val="009E41B5"/>
    <w:rsid w:val="009E4C07"/>
    <w:rsid w:val="009E4C75"/>
    <w:rsid w:val="009E5BA8"/>
    <w:rsid w:val="009E7738"/>
    <w:rsid w:val="009E7866"/>
    <w:rsid w:val="009F0CFD"/>
    <w:rsid w:val="009F0DF2"/>
    <w:rsid w:val="009F268E"/>
    <w:rsid w:val="009F2CC3"/>
    <w:rsid w:val="009F38DF"/>
    <w:rsid w:val="009F54BF"/>
    <w:rsid w:val="009F5817"/>
    <w:rsid w:val="009F5AC3"/>
    <w:rsid w:val="009F7D94"/>
    <w:rsid w:val="00A010B9"/>
    <w:rsid w:val="00A01AAD"/>
    <w:rsid w:val="00A069C9"/>
    <w:rsid w:val="00A06AC1"/>
    <w:rsid w:val="00A06BFA"/>
    <w:rsid w:val="00A06FD4"/>
    <w:rsid w:val="00A076D1"/>
    <w:rsid w:val="00A0786A"/>
    <w:rsid w:val="00A07B22"/>
    <w:rsid w:val="00A10660"/>
    <w:rsid w:val="00A106D6"/>
    <w:rsid w:val="00A11794"/>
    <w:rsid w:val="00A1411E"/>
    <w:rsid w:val="00A1426F"/>
    <w:rsid w:val="00A16B44"/>
    <w:rsid w:val="00A204E3"/>
    <w:rsid w:val="00A237B9"/>
    <w:rsid w:val="00A23853"/>
    <w:rsid w:val="00A24045"/>
    <w:rsid w:val="00A305B8"/>
    <w:rsid w:val="00A30B9B"/>
    <w:rsid w:val="00A327DE"/>
    <w:rsid w:val="00A3418B"/>
    <w:rsid w:val="00A3509C"/>
    <w:rsid w:val="00A35B0B"/>
    <w:rsid w:val="00A36306"/>
    <w:rsid w:val="00A36644"/>
    <w:rsid w:val="00A372D5"/>
    <w:rsid w:val="00A37E20"/>
    <w:rsid w:val="00A41AC9"/>
    <w:rsid w:val="00A41C15"/>
    <w:rsid w:val="00A428DB"/>
    <w:rsid w:val="00A42DAE"/>
    <w:rsid w:val="00A431BC"/>
    <w:rsid w:val="00A43424"/>
    <w:rsid w:val="00A43F4A"/>
    <w:rsid w:val="00A444D2"/>
    <w:rsid w:val="00A44885"/>
    <w:rsid w:val="00A456B9"/>
    <w:rsid w:val="00A45B99"/>
    <w:rsid w:val="00A50098"/>
    <w:rsid w:val="00A50C12"/>
    <w:rsid w:val="00A512B5"/>
    <w:rsid w:val="00A51D0A"/>
    <w:rsid w:val="00A53392"/>
    <w:rsid w:val="00A53472"/>
    <w:rsid w:val="00A538C7"/>
    <w:rsid w:val="00A53AB4"/>
    <w:rsid w:val="00A5542C"/>
    <w:rsid w:val="00A5555A"/>
    <w:rsid w:val="00A55CEF"/>
    <w:rsid w:val="00A5606E"/>
    <w:rsid w:val="00A561DD"/>
    <w:rsid w:val="00A56EFE"/>
    <w:rsid w:val="00A61587"/>
    <w:rsid w:val="00A624A2"/>
    <w:rsid w:val="00A62C4A"/>
    <w:rsid w:val="00A644C9"/>
    <w:rsid w:val="00A64552"/>
    <w:rsid w:val="00A650CB"/>
    <w:rsid w:val="00A6646E"/>
    <w:rsid w:val="00A706E4"/>
    <w:rsid w:val="00A71DBE"/>
    <w:rsid w:val="00A75558"/>
    <w:rsid w:val="00A75977"/>
    <w:rsid w:val="00A75D92"/>
    <w:rsid w:val="00A760E5"/>
    <w:rsid w:val="00A770A3"/>
    <w:rsid w:val="00A80108"/>
    <w:rsid w:val="00A81769"/>
    <w:rsid w:val="00A81FB1"/>
    <w:rsid w:val="00A824E3"/>
    <w:rsid w:val="00A83ECE"/>
    <w:rsid w:val="00A86514"/>
    <w:rsid w:val="00A874BB"/>
    <w:rsid w:val="00A87A21"/>
    <w:rsid w:val="00A90144"/>
    <w:rsid w:val="00A901E0"/>
    <w:rsid w:val="00A9135A"/>
    <w:rsid w:val="00A95684"/>
    <w:rsid w:val="00A974B2"/>
    <w:rsid w:val="00AA01CE"/>
    <w:rsid w:val="00AA15F9"/>
    <w:rsid w:val="00AA2A20"/>
    <w:rsid w:val="00AA328F"/>
    <w:rsid w:val="00AA5580"/>
    <w:rsid w:val="00AA5693"/>
    <w:rsid w:val="00AA6CDE"/>
    <w:rsid w:val="00AA792F"/>
    <w:rsid w:val="00AB4289"/>
    <w:rsid w:val="00AB4383"/>
    <w:rsid w:val="00AB490C"/>
    <w:rsid w:val="00AB5EF3"/>
    <w:rsid w:val="00AB7E07"/>
    <w:rsid w:val="00AC0AE1"/>
    <w:rsid w:val="00AC1470"/>
    <w:rsid w:val="00AC2B42"/>
    <w:rsid w:val="00AC3E8C"/>
    <w:rsid w:val="00AC5637"/>
    <w:rsid w:val="00AC5896"/>
    <w:rsid w:val="00AC6743"/>
    <w:rsid w:val="00AC6B63"/>
    <w:rsid w:val="00AC70B6"/>
    <w:rsid w:val="00AC746D"/>
    <w:rsid w:val="00AC7915"/>
    <w:rsid w:val="00AD05E2"/>
    <w:rsid w:val="00AD0E57"/>
    <w:rsid w:val="00AD3B64"/>
    <w:rsid w:val="00AD4EDF"/>
    <w:rsid w:val="00AD5B36"/>
    <w:rsid w:val="00AE0A2C"/>
    <w:rsid w:val="00AE0C4F"/>
    <w:rsid w:val="00AE1399"/>
    <w:rsid w:val="00AE3111"/>
    <w:rsid w:val="00AE35B3"/>
    <w:rsid w:val="00AE3E87"/>
    <w:rsid w:val="00AE41EC"/>
    <w:rsid w:val="00AE52EF"/>
    <w:rsid w:val="00AE71BF"/>
    <w:rsid w:val="00AF0D54"/>
    <w:rsid w:val="00AF13DB"/>
    <w:rsid w:val="00AF24AD"/>
    <w:rsid w:val="00AF3EF1"/>
    <w:rsid w:val="00AF47E2"/>
    <w:rsid w:val="00AF4FC5"/>
    <w:rsid w:val="00AF609B"/>
    <w:rsid w:val="00B00378"/>
    <w:rsid w:val="00B00CCA"/>
    <w:rsid w:val="00B01553"/>
    <w:rsid w:val="00B042DF"/>
    <w:rsid w:val="00B044C4"/>
    <w:rsid w:val="00B05329"/>
    <w:rsid w:val="00B06E3C"/>
    <w:rsid w:val="00B0735F"/>
    <w:rsid w:val="00B0770D"/>
    <w:rsid w:val="00B07BBE"/>
    <w:rsid w:val="00B15E05"/>
    <w:rsid w:val="00B16872"/>
    <w:rsid w:val="00B1778E"/>
    <w:rsid w:val="00B21FCC"/>
    <w:rsid w:val="00B22A3B"/>
    <w:rsid w:val="00B242D0"/>
    <w:rsid w:val="00B24983"/>
    <w:rsid w:val="00B24FBF"/>
    <w:rsid w:val="00B25041"/>
    <w:rsid w:val="00B254D5"/>
    <w:rsid w:val="00B25CBF"/>
    <w:rsid w:val="00B26721"/>
    <w:rsid w:val="00B27AFE"/>
    <w:rsid w:val="00B315B0"/>
    <w:rsid w:val="00B3353E"/>
    <w:rsid w:val="00B33DD8"/>
    <w:rsid w:val="00B346C0"/>
    <w:rsid w:val="00B348EC"/>
    <w:rsid w:val="00B3762B"/>
    <w:rsid w:val="00B406D8"/>
    <w:rsid w:val="00B40FDB"/>
    <w:rsid w:val="00B4114E"/>
    <w:rsid w:val="00B414C3"/>
    <w:rsid w:val="00B41584"/>
    <w:rsid w:val="00B418FB"/>
    <w:rsid w:val="00B4240F"/>
    <w:rsid w:val="00B4263F"/>
    <w:rsid w:val="00B42B0C"/>
    <w:rsid w:val="00B44E7C"/>
    <w:rsid w:val="00B44FF6"/>
    <w:rsid w:val="00B4670E"/>
    <w:rsid w:val="00B5045A"/>
    <w:rsid w:val="00B51306"/>
    <w:rsid w:val="00B51CEE"/>
    <w:rsid w:val="00B527C3"/>
    <w:rsid w:val="00B52B4E"/>
    <w:rsid w:val="00B54D77"/>
    <w:rsid w:val="00B57321"/>
    <w:rsid w:val="00B603F6"/>
    <w:rsid w:val="00B61111"/>
    <w:rsid w:val="00B61714"/>
    <w:rsid w:val="00B61AB0"/>
    <w:rsid w:val="00B65A03"/>
    <w:rsid w:val="00B66E56"/>
    <w:rsid w:val="00B67A0F"/>
    <w:rsid w:val="00B70026"/>
    <w:rsid w:val="00B70AC2"/>
    <w:rsid w:val="00B70CA0"/>
    <w:rsid w:val="00B7175A"/>
    <w:rsid w:val="00B731CB"/>
    <w:rsid w:val="00B73A5D"/>
    <w:rsid w:val="00B751EC"/>
    <w:rsid w:val="00B77346"/>
    <w:rsid w:val="00B77FD7"/>
    <w:rsid w:val="00B81820"/>
    <w:rsid w:val="00B81C1F"/>
    <w:rsid w:val="00B8242C"/>
    <w:rsid w:val="00B826D0"/>
    <w:rsid w:val="00B82830"/>
    <w:rsid w:val="00B8300C"/>
    <w:rsid w:val="00B83350"/>
    <w:rsid w:val="00B8352C"/>
    <w:rsid w:val="00B83EF2"/>
    <w:rsid w:val="00B85962"/>
    <w:rsid w:val="00B873A5"/>
    <w:rsid w:val="00B874F4"/>
    <w:rsid w:val="00B9036B"/>
    <w:rsid w:val="00B90B64"/>
    <w:rsid w:val="00B91A12"/>
    <w:rsid w:val="00B92CC6"/>
    <w:rsid w:val="00B95361"/>
    <w:rsid w:val="00B957F7"/>
    <w:rsid w:val="00B961A5"/>
    <w:rsid w:val="00B962B0"/>
    <w:rsid w:val="00B96E2C"/>
    <w:rsid w:val="00B9710D"/>
    <w:rsid w:val="00BA07C6"/>
    <w:rsid w:val="00BA0BE3"/>
    <w:rsid w:val="00BA1914"/>
    <w:rsid w:val="00BA2ABF"/>
    <w:rsid w:val="00BA58E5"/>
    <w:rsid w:val="00BA5E73"/>
    <w:rsid w:val="00BA68D3"/>
    <w:rsid w:val="00BA6DBA"/>
    <w:rsid w:val="00BB02EE"/>
    <w:rsid w:val="00BB11D4"/>
    <w:rsid w:val="00BB3428"/>
    <w:rsid w:val="00BB39FE"/>
    <w:rsid w:val="00BB5F97"/>
    <w:rsid w:val="00BB5FD4"/>
    <w:rsid w:val="00BB715C"/>
    <w:rsid w:val="00BC10DF"/>
    <w:rsid w:val="00BC1AFF"/>
    <w:rsid w:val="00BC3616"/>
    <w:rsid w:val="00BC5011"/>
    <w:rsid w:val="00BC57B7"/>
    <w:rsid w:val="00BC7018"/>
    <w:rsid w:val="00BC7207"/>
    <w:rsid w:val="00BC777C"/>
    <w:rsid w:val="00BD14F2"/>
    <w:rsid w:val="00BD1962"/>
    <w:rsid w:val="00BD2792"/>
    <w:rsid w:val="00BD339B"/>
    <w:rsid w:val="00BD3F03"/>
    <w:rsid w:val="00BD453C"/>
    <w:rsid w:val="00BD5AE5"/>
    <w:rsid w:val="00BD65CC"/>
    <w:rsid w:val="00BD6CAB"/>
    <w:rsid w:val="00BD7595"/>
    <w:rsid w:val="00BE3471"/>
    <w:rsid w:val="00BE34D4"/>
    <w:rsid w:val="00BE3A7C"/>
    <w:rsid w:val="00BE3CD5"/>
    <w:rsid w:val="00BE5BD8"/>
    <w:rsid w:val="00BE6033"/>
    <w:rsid w:val="00BE6CCC"/>
    <w:rsid w:val="00BE70C7"/>
    <w:rsid w:val="00BF1F8E"/>
    <w:rsid w:val="00BF46E3"/>
    <w:rsid w:val="00BF4755"/>
    <w:rsid w:val="00BF4FFB"/>
    <w:rsid w:val="00BF61A5"/>
    <w:rsid w:val="00BF6619"/>
    <w:rsid w:val="00BF67E3"/>
    <w:rsid w:val="00BF6C5A"/>
    <w:rsid w:val="00BF6D2A"/>
    <w:rsid w:val="00C02686"/>
    <w:rsid w:val="00C027A7"/>
    <w:rsid w:val="00C02B20"/>
    <w:rsid w:val="00C02FE8"/>
    <w:rsid w:val="00C054B6"/>
    <w:rsid w:val="00C1102E"/>
    <w:rsid w:val="00C11C6E"/>
    <w:rsid w:val="00C11CD1"/>
    <w:rsid w:val="00C1236C"/>
    <w:rsid w:val="00C13033"/>
    <w:rsid w:val="00C147A6"/>
    <w:rsid w:val="00C17107"/>
    <w:rsid w:val="00C21042"/>
    <w:rsid w:val="00C2207F"/>
    <w:rsid w:val="00C23088"/>
    <w:rsid w:val="00C24263"/>
    <w:rsid w:val="00C24787"/>
    <w:rsid w:val="00C2503B"/>
    <w:rsid w:val="00C26013"/>
    <w:rsid w:val="00C30C18"/>
    <w:rsid w:val="00C30E47"/>
    <w:rsid w:val="00C31B28"/>
    <w:rsid w:val="00C32886"/>
    <w:rsid w:val="00C32C05"/>
    <w:rsid w:val="00C33848"/>
    <w:rsid w:val="00C346A4"/>
    <w:rsid w:val="00C347B9"/>
    <w:rsid w:val="00C3502D"/>
    <w:rsid w:val="00C35816"/>
    <w:rsid w:val="00C37F63"/>
    <w:rsid w:val="00C402F0"/>
    <w:rsid w:val="00C40E52"/>
    <w:rsid w:val="00C41E7A"/>
    <w:rsid w:val="00C422A7"/>
    <w:rsid w:val="00C42B79"/>
    <w:rsid w:val="00C4386D"/>
    <w:rsid w:val="00C43FE5"/>
    <w:rsid w:val="00C461F7"/>
    <w:rsid w:val="00C46B14"/>
    <w:rsid w:val="00C470FD"/>
    <w:rsid w:val="00C47179"/>
    <w:rsid w:val="00C512D3"/>
    <w:rsid w:val="00C51358"/>
    <w:rsid w:val="00C52080"/>
    <w:rsid w:val="00C52653"/>
    <w:rsid w:val="00C5422B"/>
    <w:rsid w:val="00C56398"/>
    <w:rsid w:val="00C56EB0"/>
    <w:rsid w:val="00C57657"/>
    <w:rsid w:val="00C57829"/>
    <w:rsid w:val="00C57CB6"/>
    <w:rsid w:val="00C62295"/>
    <w:rsid w:val="00C6316A"/>
    <w:rsid w:val="00C66A80"/>
    <w:rsid w:val="00C66F96"/>
    <w:rsid w:val="00C70984"/>
    <w:rsid w:val="00C7362D"/>
    <w:rsid w:val="00C75994"/>
    <w:rsid w:val="00C75B87"/>
    <w:rsid w:val="00C82265"/>
    <w:rsid w:val="00C825F1"/>
    <w:rsid w:val="00C86411"/>
    <w:rsid w:val="00C86D1C"/>
    <w:rsid w:val="00C87B07"/>
    <w:rsid w:val="00C90C73"/>
    <w:rsid w:val="00C9137C"/>
    <w:rsid w:val="00C91D45"/>
    <w:rsid w:val="00C92B15"/>
    <w:rsid w:val="00CA0001"/>
    <w:rsid w:val="00CA0F75"/>
    <w:rsid w:val="00CA368E"/>
    <w:rsid w:val="00CA3BE2"/>
    <w:rsid w:val="00CA3D3F"/>
    <w:rsid w:val="00CB003F"/>
    <w:rsid w:val="00CB0EA0"/>
    <w:rsid w:val="00CB138A"/>
    <w:rsid w:val="00CB4AF9"/>
    <w:rsid w:val="00CB6E8F"/>
    <w:rsid w:val="00CB7D0A"/>
    <w:rsid w:val="00CC1251"/>
    <w:rsid w:val="00CC13F5"/>
    <w:rsid w:val="00CC337F"/>
    <w:rsid w:val="00CC36A1"/>
    <w:rsid w:val="00CC3B65"/>
    <w:rsid w:val="00CC77FA"/>
    <w:rsid w:val="00CC7B81"/>
    <w:rsid w:val="00CC7E3D"/>
    <w:rsid w:val="00CD0261"/>
    <w:rsid w:val="00CD0C33"/>
    <w:rsid w:val="00CD19D4"/>
    <w:rsid w:val="00CD1C86"/>
    <w:rsid w:val="00CD2743"/>
    <w:rsid w:val="00CD5A4C"/>
    <w:rsid w:val="00CD619D"/>
    <w:rsid w:val="00CE0348"/>
    <w:rsid w:val="00CE03F8"/>
    <w:rsid w:val="00CE1FDA"/>
    <w:rsid w:val="00CE338F"/>
    <w:rsid w:val="00CE3518"/>
    <w:rsid w:val="00CE395C"/>
    <w:rsid w:val="00CE4C3A"/>
    <w:rsid w:val="00CE51F2"/>
    <w:rsid w:val="00CE5AB4"/>
    <w:rsid w:val="00CE606B"/>
    <w:rsid w:val="00CE6EF2"/>
    <w:rsid w:val="00CE7130"/>
    <w:rsid w:val="00CF029A"/>
    <w:rsid w:val="00CF197E"/>
    <w:rsid w:val="00CF4096"/>
    <w:rsid w:val="00CF4147"/>
    <w:rsid w:val="00CF46A4"/>
    <w:rsid w:val="00CF4AC7"/>
    <w:rsid w:val="00CF6778"/>
    <w:rsid w:val="00CF691D"/>
    <w:rsid w:val="00CF7EF9"/>
    <w:rsid w:val="00D00CEE"/>
    <w:rsid w:val="00D02DCC"/>
    <w:rsid w:val="00D03DCE"/>
    <w:rsid w:val="00D04091"/>
    <w:rsid w:val="00D05248"/>
    <w:rsid w:val="00D0681F"/>
    <w:rsid w:val="00D1047D"/>
    <w:rsid w:val="00D115B3"/>
    <w:rsid w:val="00D12A01"/>
    <w:rsid w:val="00D133B2"/>
    <w:rsid w:val="00D154A8"/>
    <w:rsid w:val="00D166ED"/>
    <w:rsid w:val="00D16DB2"/>
    <w:rsid w:val="00D1737B"/>
    <w:rsid w:val="00D17BD1"/>
    <w:rsid w:val="00D201F8"/>
    <w:rsid w:val="00D21691"/>
    <w:rsid w:val="00D23AB7"/>
    <w:rsid w:val="00D24655"/>
    <w:rsid w:val="00D267A0"/>
    <w:rsid w:val="00D27588"/>
    <w:rsid w:val="00D27B00"/>
    <w:rsid w:val="00D30903"/>
    <w:rsid w:val="00D3142B"/>
    <w:rsid w:val="00D31F40"/>
    <w:rsid w:val="00D3251A"/>
    <w:rsid w:val="00D325AE"/>
    <w:rsid w:val="00D345CD"/>
    <w:rsid w:val="00D404E8"/>
    <w:rsid w:val="00D42179"/>
    <w:rsid w:val="00D4293D"/>
    <w:rsid w:val="00D4469B"/>
    <w:rsid w:val="00D45F1A"/>
    <w:rsid w:val="00D4656D"/>
    <w:rsid w:val="00D46F75"/>
    <w:rsid w:val="00D47E0F"/>
    <w:rsid w:val="00D512B0"/>
    <w:rsid w:val="00D51889"/>
    <w:rsid w:val="00D529F6"/>
    <w:rsid w:val="00D53CE0"/>
    <w:rsid w:val="00D5472A"/>
    <w:rsid w:val="00D56623"/>
    <w:rsid w:val="00D57820"/>
    <w:rsid w:val="00D61944"/>
    <w:rsid w:val="00D619D8"/>
    <w:rsid w:val="00D62962"/>
    <w:rsid w:val="00D65DAF"/>
    <w:rsid w:val="00D66861"/>
    <w:rsid w:val="00D67A4F"/>
    <w:rsid w:val="00D70EB8"/>
    <w:rsid w:val="00D71D6C"/>
    <w:rsid w:val="00D72509"/>
    <w:rsid w:val="00D73F21"/>
    <w:rsid w:val="00D74161"/>
    <w:rsid w:val="00D74C84"/>
    <w:rsid w:val="00D74D1A"/>
    <w:rsid w:val="00D7558F"/>
    <w:rsid w:val="00D76427"/>
    <w:rsid w:val="00D764EB"/>
    <w:rsid w:val="00D77801"/>
    <w:rsid w:val="00D7789C"/>
    <w:rsid w:val="00D81522"/>
    <w:rsid w:val="00D81B22"/>
    <w:rsid w:val="00D84640"/>
    <w:rsid w:val="00D86B45"/>
    <w:rsid w:val="00D87B89"/>
    <w:rsid w:val="00D909B3"/>
    <w:rsid w:val="00D90FBE"/>
    <w:rsid w:val="00D9109A"/>
    <w:rsid w:val="00D916C7"/>
    <w:rsid w:val="00D92B92"/>
    <w:rsid w:val="00D92D66"/>
    <w:rsid w:val="00D936EB"/>
    <w:rsid w:val="00D93DB2"/>
    <w:rsid w:val="00D95013"/>
    <w:rsid w:val="00D9558E"/>
    <w:rsid w:val="00D95CAE"/>
    <w:rsid w:val="00D95FE4"/>
    <w:rsid w:val="00D96D56"/>
    <w:rsid w:val="00D96FC7"/>
    <w:rsid w:val="00DA1A6B"/>
    <w:rsid w:val="00DA23DD"/>
    <w:rsid w:val="00DA3376"/>
    <w:rsid w:val="00DA3F29"/>
    <w:rsid w:val="00DA4F73"/>
    <w:rsid w:val="00DA5210"/>
    <w:rsid w:val="00DA545B"/>
    <w:rsid w:val="00DA69DB"/>
    <w:rsid w:val="00DB0228"/>
    <w:rsid w:val="00DB2E8E"/>
    <w:rsid w:val="00DB3C56"/>
    <w:rsid w:val="00DB4C52"/>
    <w:rsid w:val="00DB66C2"/>
    <w:rsid w:val="00DB6724"/>
    <w:rsid w:val="00DB6DCC"/>
    <w:rsid w:val="00DB7C23"/>
    <w:rsid w:val="00DC06F0"/>
    <w:rsid w:val="00DC0A83"/>
    <w:rsid w:val="00DC0BF1"/>
    <w:rsid w:val="00DC2485"/>
    <w:rsid w:val="00DC4230"/>
    <w:rsid w:val="00DC4375"/>
    <w:rsid w:val="00DC5A5F"/>
    <w:rsid w:val="00DC5C7D"/>
    <w:rsid w:val="00DC60EF"/>
    <w:rsid w:val="00DC67D0"/>
    <w:rsid w:val="00DC72E7"/>
    <w:rsid w:val="00DD1133"/>
    <w:rsid w:val="00DD2495"/>
    <w:rsid w:val="00DD369E"/>
    <w:rsid w:val="00DD6114"/>
    <w:rsid w:val="00DD69B1"/>
    <w:rsid w:val="00DD7C07"/>
    <w:rsid w:val="00DD7E47"/>
    <w:rsid w:val="00DE2499"/>
    <w:rsid w:val="00DE3F96"/>
    <w:rsid w:val="00DE5431"/>
    <w:rsid w:val="00DE55A9"/>
    <w:rsid w:val="00DE70AF"/>
    <w:rsid w:val="00DF0D6A"/>
    <w:rsid w:val="00DF0DCD"/>
    <w:rsid w:val="00DF1D8F"/>
    <w:rsid w:val="00DF3396"/>
    <w:rsid w:val="00DF4047"/>
    <w:rsid w:val="00DF42FF"/>
    <w:rsid w:val="00DF513E"/>
    <w:rsid w:val="00DF5864"/>
    <w:rsid w:val="00DF6035"/>
    <w:rsid w:val="00DF7F7F"/>
    <w:rsid w:val="00E00EFF"/>
    <w:rsid w:val="00E01076"/>
    <w:rsid w:val="00E01A9B"/>
    <w:rsid w:val="00E01B32"/>
    <w:rsid w:val="00E01C03"/>
    <w:rsid w:val="00E01C8D"/>
    <w:rsid w:val="00E0270D"/>
    <w:rsid w:val="00E027C6"/>
    <w:rsid w:val="00E04C68"/>
    <w:rsid w:val="00E0675E"/>
    <w:rsid w:val="00E118A5"/>
    <w:rsid w:val="00E148EF"/>
    <w:rsid w:val="00E16E9F"/>
    <w:rsid w:val="00E17178"/>
    <w:rsid w:val="00E1779D"/>
    <w:rsid w:val="00E21432"/>
    <w:rsid w:val="00E2145F"/>
    <w:rsid w:val="00E214E9"/>
    <w:rsid w:val="00E2692B"/>
    <w:rsid w:val="00E30D21"/>
    <w:rsid w:val="00E31727"/>
    <w:rsid w:val="00E317C0"/>
    <w:rsid w:val="00E32983"/>
    <w:rsid w:val="00E32BFE"/>
    <w:rsid w:val="00E32F0D"/>
    <w:rsid w:val="00E33FC5"/>
    <w:rsid w:val="00E34FA8"/>
    <w:rsid w:val="00E358BB"/>
    <w:rsid w:val="00E35B42"/>
    <w:rsid w:val="00E368C6"/>
    <w:rsid w:val="00E37612"/>
    <w:rsid w:val="00E4096B"/>
    <w:rsid w:val="00E44B26"/>
    <w:rsid w:val="00E45F49"/>
    <w:rsid w:val="00E476E6"/>
    <w:rsid w:val="00E47A79"/>
    <w:rsid w:val="00E5006A"/>
    <w:rsid w:val="00E517BB"/>
    <w:rsid w:val="00E53F53"/>
    <w:rsid w:val="00E55854"/>
    <w:rsid w:val="00E558AE"/>
    <w:rsid w:val="00E558F3"/>
    <w:rsid w:val="00E575A0"/>
    <w:rsid w:val="00E57FE6"/>
    <w:rsid w:val="00E604DB"/>
    <w:rsid w:val="00E60FCC"/>
    <w:rsid w:val="00E61DAF"/>
    <w:rsid w:val="00E623AC"/>
    <w:rsid w:val="00E62AF9"/>
    <w:rsid w:val="00E62D2E"/>
    <w:rsid w:val="00E63108"/>
    <w:rsid w:val="00E645DC"/>
    <w:rsid w:val="00E65EA2"/>
    <w:rsid w:val="00E670CD"/>
    <w:rsid w:val="00E70540"/>
    <w:rsid w:val="00E709B1"/>
    <w:rsid w:val="00E71AB1"/>
    <w:rsid w:val="00E720C5"/>
    <w:rsid w:val="00E75BBB"/>
    <w:rsid w:val="00E75EF5"/>
    <w:rsid w:val="00E76BE0"/>
    <w:rsid w:val="00E77956"/>
    <w:rsid w:val="00E77BA7"/>
    <w:rsid w:val="00E808A7"/>
    <w:rsid w:val="00E82ED6"/>
    <w:rsid w:val="00E848F9"/>
    <w:rsid w:val="00E849D2"/>
    <w:rsid w:val="00E85FDA"/>
    <w:rsid w:val="00E87014"/>
    <w:rsid w:val="00E8779B"/>
    <w:rsid w:val="00E92560"/>
    <w:rsid w:val="00E928A6"/>
    <w:rsid w:val="00E92A2A"/>
    <w:rsid w:val="00E92B60"/>
    <w:rsid w:val="00E93348"/>
    <w:rsid w:val="00E93946"/>
    <w:rsid w:val="00E947A9"/>
    <w:rsid w:val="00E94B11"/>
    <w:rsid w:val="00E97ED2"/>
    <w:rsid w:val="00EA2895"/>
    <w:rsid w:val="00EA5CF2"/>
    <w:rsid w:val="00EA6933"/>
    <w:rsid w:val="00EA7AEE"/>
    <w:rsid w:val="00EA7F41"/>
    <w:rsid w:val="00EB017A"/>
    <w:rsid w:val="00EB06AC"/>
    <w:rsid w:val="00EB0AD0"/>
    <w:rsid w:val="00EB17C0"/>
    <w:rsid w:val="00EB194F"/>
    <w:rsid w:val="00EB2049"/>
    <w:rsid w:val="00EB328C"/>
    <w:rsid w:val="00EB4243"/>
    <w:rsid w:val="00EB4EE9"/>
    <w:rsid w:val="00EB54CB"/>
    <w:rsid w:val="00EB6E8F"/>
    <w:rsid w:val="00EB7755"/>
    <w:rsid w:val="00EB7E0C"/>
    <w:rsid w:val="00EB7ED2"/>
    <w:rsid w:val="00EC05D2"/>
    <w:rsid w:val="00EC0B5D"/>
    <w:rsid w:val="00EC0F82"/>
    <w:rsid w:val="00EC155A"/>
    <w:rsid w:val="00EC2620"/>
    <w:rsid w:val="00EC2937"/>
    <w:rsid w:val="00EC3C41"/>
    <w:rsid w:val="00EC4DDE"/>
    <w:rsid w:val="00EC55CE"/>
    <w:rsid w:val="00EC6401"/>
    <w:rsid w:val="00EC6A1C"/>
    <w:rsid w:val="00EC7A69"/>
    <w:rsid w:val="00ED0089"/>
    <w:rsid w:val="00ED0AB3"/>
    <w:rsid w:val="00ED2661"/>
    <w:rsid w:val="00ED3832"/>
    <w:rsid w:val="00ED4F98"/>
    <w:rsid w:val="00ED6733"/>
    <w:rsid w:val="00ED7414"/>
    <w:rsid w:val="00EE1FBF"/>
    <w:rsid w:val="00EE2CB5"/>
    <w:rsid w:val="00EE31CE"/>
    <w:rsid w:val="00EE568A"/>
    <w:rsid w:val="00EE5A3F"/>
    <w:rsid w:val="00EF14AE"/>
    <w:rsid w:val="00EF6A17"/>
    <w:rsid w:val="00EF6A2D"/>
    <w:rsid w:val="00F00A42"/>
    <w:rsid w:val="00F00CEB"/>
    <w:rsid w:val="00F00D6D"/>
    <w:rsid w:val="00F02E1C"/>
    <w:rsid w:val="00F0319C"/>
    <w:rsid w:val="00F0433A"/>
    <w:rsid w:val="00F04415"/>
    <w:rsid w:val="00F04873"/>
    <w:rsid w:val="00F05166"/>
    <w:rsid w:val="00F0677F"/>
    <w:rsid w:val="00F1100D"/>
    <w:rsid w:val="00F12DC0"/>
    <w:rsid w:val="00F14981"/>
    <w:rsid w:val="00F14BA0"/>
    <w:rsid w:val="00F15CF2"/>
    <w:rsid w:val="00F17310"/>
    <w:rsid w:val="00F20B1C"/>
    <w:rsid w:val="00F21B7D"/>
    <w:rsid w:val="00F21C48"/>
    <w:rsid w:val="00F2246B"/>
    <w:rsid w:val="00F2246C"/>
    <w:rsid w:val="00F23815"/>
    <w:rsid w:val="00F25515"/>
    <w:rsid w:val="00F26361"/>
    <w:rsid w:val="00F266E7"/>
    <w:rsid w:val="00F26822"/>
    <w:rsid w:val="00F26D9B"/>
    <w:rsid w:val="00F31280"/>
    <w:rsid w:val="00F31725"/>
    <w:rsid w:val="00F330DC"/>
    <w:rsid w:val="00F3377D"/>
    <w:rsid w:val="00F3531B"/>
    <w:rsid w:val="00F363F1"/>
    <w:rsid w:val="00F3766D"/>
    <w:rsid w:val="00F37E73"/>
    <w:rsid w:val="00F40632"/>
    <w:rsid w:val="00F40664"/>
    <w:rsid w:val="00F409B1"/>
    <w:rsid w:val="00F40C9C"/>
    <w:rsid w:val="00F40DF7"/>
    <w:rsid w:val="00F42846"/>
    <w:rsid w:val="00F42E66"/>
    <w:rsid w:val="00F4317F"/>
    <w:rsid w:val="00F442E9"/>
    <w:rsid w:val="00F44A69"/>
    <w:rsid w:val="00F45198"/>
    <w:rsid w:val="00F45C87"/>
    <w:rsid w:val="00F45DF5"/>
    <w:rsid w:val="00F46FE5"/>
    <w:rsid w:val="00F47363"/>
    <w:rsid w:val="00F505CD"/>
    <w:rsid w:val="00F506CA"/>
    <w:rsid w:val="00F515BC"/>
    <w:rsid w:val="00F522D0"/>
    <w:rsid w:val="00F537B8"/>
    <w:rsid w:val="00F537F0"/>
    <w:rsid w:val="00F53D62"/>
    <w:rsid w:val="00F53F92"/>
    <w:rsid w:val="00F54B5C"/>
    <w:rsid w:val="00F553D7"/>
    <w:rsid w:val="00F55AFB"/>
    <w:rsid w:val="00F56670"/>
    <w:rsid w:val="00F56ACF"/>
    <w:rsid w:val="00F63BD5"/>
    <w:rsid w:val="00F64F9F"/>
    <w:rsid w:val="00F651FA"/>
    <w:rsid w:val="00F652ED"/>
    <w:rsid w:val="00F67824"/>
    <w:rsid w:val="00F71B15"/>
    <w:rsid w:val="00F7299C"/>
    <w:rsid w:val="00F73D17"/>
    <w:rsid w:val="00F73DA1"/>
    <w:rsid w:val="00F7449F"/>
    <w:rsid w:val="00F74517"/>
    <w:rsid w:val="00F74BA8"/>
    <w:rsid w:val="00F74E17"/>
    <w:rsid w:val="00F7661F"/>
    <w:rsid w:val="00F80650"/>
    <w:rsid w:val="00F832CF"/>
    <w:rsid w:val="00F83F67"/>
    <w:rsid w:val="00F840CF"/>
    <w:rsid w:val="00F865C3"/>
    <w:rsid w:val="00F866DA"/>
    <w:rsid w:val="00F87108"/>
    <w:rsid w:val="00F9021C"/>
    <w:rsid w:val="00F90286"/>
    <w:rsid w:val="00F919A9"/>
    <w:rsid w:val="00F91D93"/>
    <w:rsid w:val="00F91FE0"/>
    <w:rsid w:val="00F93CF3"/>
    <w:rsid w:val="00F940E4"/>
    <w:rsid w:val="00F94483"/>
    <w:rsid w:val="00F96C6D"/>
    <w:rsid w:val="00F97250"/>
    <w:rsid w:val="00F97E0F"/>
    <w:rsid w:val="00FA1D20"/>
    <w:rsid w:val="00FA1EF7"/>
    <w:rsid w:val="00FA22CE"/>
    <w:rsid w:val="00FA2E58"/>
    <w:rsid w:val="00FA32C9"/>
    <w:rsid w:val="00FA36CA"/>
    <w:rsid w:val="00FA3728"/>
    <w:rsid w:val="00FA3B2B"/>
    <w:rsid w:val="00FA43FB"/>
    <w:rsid w:val="00FA48F4"/>
    <w:rsid w:val="00FA4A8F"/>
    <w:rsid w:val="00FA51B2"/>
    <w:rsid w:val="00FA6A56"/>
    <w:rsid w:val="00FA75A3"/>
    <w:rsid w:val="00FA7A9B"/>
    <w:rsid w:val="00FB05C8"/>
    <w:rsid w:val="00FB3087"/>
    <w:rsid w:val="00FB73CC"/>
    <w:rsid w:val="00FC0347"/>
    <w:rsid w:val="00FC27D5"/>
    <w:rsid w:val="00FC5491"/>
    <w:rsid w:val="00FC612B"/>
    <w:rsid w:val="00FC6258"/>
    <w:rsid w:val="00FC663A"/>
    <w:rsid w:val="00FC6AF2"/>
    <w:rsid w:val="00FD13DC"/>
    <w:rsid w:val="00FD209C"/>
    <w:rsid w:val="00FD463E"/>
    <w:rsid w:val="00FD5B13"/>
    <w:rsid w:val="00FD5F9B"/>
    <w:rsid w:val="00FD603D"/>
    <w:rsid w:val="00FD6210"/>
    <w:rsid w:val="00FE25AC"/>
    <w:rsid w:val="00FE6DCF"/>
    <w:rsid w:val="00FE794C"/>
    <w:rsid w:val="00FE7A51"/>
    <w:rsid w:val="00FE7E5B"/>
    <w:rsid w:val="00FF121A"/>
    <w:rsid w:val="00FF131F"/>
    <w:rsid w:val="00FF264D"/>
    <w:rsid w:val="00FF3598"/>
    <w:rsid w:val="00FF7796"/>
    <w:rsid w:val="010569BB"/>
    <w:rsid w:val="03A63140"/>
    <w:rsid w:val="07AB2622"/>
    <w:rsid w:val="089922AB"/>
    <w:rsid w:val="0C446BCE"/>
    <w:rsid w:val="0ED00498"/>
    <w:rsid w:val="164A2D25"/>
    <w:rsid w:val="1A4C64C4"/>
    <w:rsid w:val="20C663FF"/>
    <w:rsid w:val="21BD5DFA"/>
    <w:rsid w:val="266018CC"/>
    <w:rsid w:val="30BD3E31"/>
    <w:rsid w:val="34B3436D"/>
    <w:rsid w:val="359D4003"/>
    <w:rsid w:val="370760E5"/>
    <w:rsid w:val="3D04251F"/>
    <w:rsid w:val="43420C89"/>
    <w:rsid w:val="44345E24"/>
    <w:rsid w:val="46D959F9"/>
    <w:rsid w:val="5F884A2C"/>
    <w:rsid w:val="65066698"/>
    <w:rsid w:val="65A134E5"/>
    <w:rsid w:val="6C5E0B69"/>
    <w:rsid w:val="6DCB15B1"/>
    <w:rsid w:val="747F0DB3"/>
    <w:rsid w:val="7A624EBF"/>
    <w:rsid w:val="7E54585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uppressAutoHyphens/>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3"/>
    <w:semiHidden/>
    <w:unhideWhenUsed/>
    <w:qFormat/>
    <w:uiPriority w:val="99"/>
    <w:pPr>
      <w:spacing w:after="0" w:line="240" w:lineRule="auto"/>
    </w:pPr>
    <w:rPr>
      <w:rFonts w:ascii="Tahoma" w:hAnsi="Tahoma" w:cs="Tahoma"/>
      <w:sz w:val="16"/>
      <w:szCs w:val="16"/>
    </w:rPr>
  </w:style>
  <w:style w:type="paragraph" w:styleId="14">
    <w:name w:val="Body Text"/>
    <w:basedOn w:val="1"/>
    <w:qFormat/>
    <w:uiPriority w:val="0"/>
    <w:pPr>
      <w:spacing w:after="140" w:line="276" w:lineRule="auto"/>
    </w:pPr>
  </w:style>
  <w:style w:type="paragraph" w:styleId="15">
    <w:name w:val="caption"/>
    <w:basedOn w:val="1"/>
    <w:qFormat/>
    <w:uiPriority w:val="0"/>
    <w:pPr>
      <w:suppressLineNumbers/>
      <w:spacing w:before="120" w:after="120"/>
    </w:pPr>
    <w:rPr>
      <w:rFonts w:cs="Lucida Sans"/>
      <w:i/>
      <w:iCs/>
    </w:rPr>
  </w:style>
  <w:style w:type="character" w:styleId="16">
    <w:name w:val="FollowedHyperlink"/>
    <w:basedOn w:val="11"/>
    <w:semiHidden/>
    <w:unhideWhenUsed/>
    <w:qFormat/>
    <w:uiPriority w:val="99"/>
    <w:rPr>
      <w:color w:val="954F72" w:themeColor="followedHyperlink"/>
      <w:u w:val="single"/>
      <w14:textFill>
        <w14:solidFill>
          <w14:schemeClr w14:val="folHlink"/>
        </w14:solidFill>
      </w14:textFill>
    </w:rPr>
  </w:style>
  <w:style w:type="paragraph" w:styleId="17">
    <w:name w:val="footer"/>
    <w:basedOn w:val="1"/>
    <w:link w:val="45"/>
    <w:unhideWhenUsed/>
    <w:qFormat/>
    <w:uiPriority w:val="99"/>
    <w:pPr>
      <w:tabs>
        <w:tab w:val="center" w:pos="4680"/>
        <w:tab w:val="right" w:pos="9360"/>
      </w:tabs>
      <w:spacing w:after="0" w:line="240" w:lineRule="auto"/>
    </w:pPr>
  </w:style>
  <w:style w:type="paragraph" w:styleId="18">
    <w:name w:val="header"/>
    <w:basedOn w:val="1"/>
    <w:link w:val="44"/>
    <w:unhideWhenUsed/>
    <w:qFormat/>
    <w:uiPriority w:val="99"/>
    <w:pPr>
      <w:tabs>
        <w:tab w:val="center" w:pos="4680"/>
        <w:tab w:val="right" w:pos="9360"/>
      </w:tabs>
      <w:spacing w:after="0" w:line="240" w:lineRule="auto"/>
    </w:pPr>
  </w:style>
  <w:style w:type="character" w:styleId="19">
    <w:name w:val="HTML Code"/>
    <w:basedOn w:val="11"/>
    <w:semiHidden/>
    <w:unhideWhenUsed/>
    <w:qFormat/>
    <w:uiPriority w:val="99"/>
    <w:rPr>
      <w:rFonts w:ascii="Courier New" w:hAnsi="Courier New" w:cs="Courier New"/>
      <w:sz w:val="20"/>
      <w:szCs w:val="20"/>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List"/>
    <w:basedOn w:val="14"/>
    <w:qFormat/>
    <w:uiPriority w:val="0"/>
    <w:rPr>
      <w:rFonts w:cs="Lucida Sans"/>
    </w:rPr>
  </w:style>
  <w:style w:type="paragraph" w:styleId="22">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3">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4">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link w:val="35"/>
    <w:qFormat/>
    <w:uiPriority w:val="10"/>
    <w:pPr>
      <w:spacing w:after="80" w:line="240" w:lineRule="auto"/>
      <w:contextualSpacing/>
    </w:pPr>
    <w:rPr>
      <w:rFonts w:asciiTheme="majorHAnsi" w:hAnsiTheme="majorHAnsi" w:eastAsiaTheme="majorEastAsia" w:cstheme="majorBidi"/>
      <w:spacing w:val="-10"/>
      <w:sz w:val="56"/>
      <w:szCs w:val="56"/>
    </w:rPr>
  </w:style>
  <w:style w:type="character" w:customStyle="1" w:styleId="2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2F5597" w:themeColor="accent1" w:themeShade="BF"/>
    </w:rPr>
  </w:style>
  <w:style w:type="character" w:customStyle="1" w:styleId="30">
    <w:name w:val="Heading 5 Char"/>
    <w:basedOn w:val="11"/>
    <w:link w:val="6"/>
    <w:semiHidden/>
    <w:qFormat/>
    <w:uiPriority w:val="9"/>
    <w:rPr>
      <w:rFonts w:eastAsiaTheme="majorEastAsia" w:cstheme="majorBidi"/>
      <w:color w:val="2F5597"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5"/>
    <w:qFormat/>
    <w:uiPriority w:val="10"/>
    <w:rPr>
      <w:rFonts w:asciiTheme="majorHAnsi" w:hAnsiTheme="majorHAnsi" w:eastAsiaTheme="majorEastAsia" w:cstheme="majorBidi"/>
      <w:spacing w:val="-10"/>
      <w:kern w:val="2"/>
      <w:sz w:val="56"/>
      <w:szCs w:val="56"/>
    </w:rPr>
  </w:style>
  <w:style w:type="character" w:customStyle="1" w:styleId="36">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7">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38">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Intense Emphasis1"/>
    <w:basedOn w:val="11"/>
    <w:qFormat/>
    <w:uiPriority w:val="21"/>
    <w:rPr>
      <w:i/>
      <w:iCs/>
      <w:color w:val="2F5597" w:themeColor="accent1" w:themeShade="BF"/>
    </w:rPr>
  </w:style>
  <w:style w:type="character" w:customStyle="1" w:styleId="40">
    <w:name w:val="Intense Quote Char"/>
    <w:basedOn w:val="11"/>
    <w:link w:val="41"/>
    <w:qFormat/>
    <w:uiPriority w:val="30"/>
    <w:rPr>
      <w:i/>
      <w:iCs/>
      <w:color w:val="2F5597" w:themeColor="accent1" w:themeShade="BF"/>
    </w:rPr>
  </w:style>
  <w:style w:type="paragraph" w:styleId="41">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Reference1"/>
    <w:basedOn w:val="11"/>
    <w:qFormat/>
    <w:uiPriority w:val="32"/>
    <w:rPr>
      <w:b/>
      <w:bCs/>
      <w:smallCaps/>
      <w:color w:val="2F5597" w:themeColor="accent1" w:themeShade="BF"/>
      <w:spacing w:val="5"/>
    </w:rPr>
  </w:style>
  <w:style w:type="character" w:customStyle="1" w:styleId="43">
    <w:name w:val="Balloon Text Char"/>
    <w:basedOn w:val="11"/>
    <w:link w:val="13"/>
    <w:semiHidden/>
    <w:qFormat/>
    <w:uiPriority w:val="99"/>
    <w:rPr>
      <w:rFonts w:ascii="Tahoma" w:hAnsi="Tahoma" w:cs="Tahoma"/>
      <w:sz w:val="16"/>
      <w:szCs w:val="16"/>
    </w:rPr>
  </w:style>
  <w:style w:type="character" w:customStyle="1" w:styleId="44">
    <w:name w:val="Header Char"/>
    <w:basedOn w:val="11"/>
    <w:link w:val="18"/>
    <w:qFormat/>
    <w:uiPriority w:val="99"/>
  </w:style>
  <w:style w:type="character" w:customStyle="1" w:styleId="45">
    <w:name w:val="Footer Char"/>
    <w:basedOn w:val="11"/>
    <w:link w:val="17"/>
    <w:qFormat/>
    <w:uiPriority w:val="99"/>
  </w:style>
  <w:style w:type="character" w:styleId="46">
    <w:name w:val="Placeholder Text"/>
    <w:basedOn w:val="11"/>
    <w:semiHidden/>
    <w:qFormat/>
    <w:uiPriority w:val="99"/>
    <w:rPr>
      <w:color w:val="808080"/>
    </w:rPr>
  </w:style>
  <w:style w:type="paragraph" w:customStyle="1" w:styleId="47">
    <w:name w:val="Heading"/>
    <w:basedOn w:val="1"/>
    <w:next w:val="14"/>
    <w:qFormat/>
    <w:uiPriority w:val="0"/>
    <w:pPr>
      <w:keepNext/>
      <w:spacing w:before="240" w:after="120"/>
    </w:pPr>
    <w:rPr>
      <w:rFonts w:ascii="Arial" w:hAnsi="Arial" w:eastAsia="Microsoft YaHei" w:cs="Lucida Sans"/>
      <w:sz w:val="28"/>
      <w:szCs w:val="28"/>
    </w:rPr>
  </w:style>
  <w:style w:type="paragraph" w:customStyle="1" w:styleId="48">
    <w:name w:val="Index"/>
    <w:basedOn w:val="1"/>
    <w:qFormat/>
    <w:uiPriority w:val="0"/>
    <w:pPr>
      <w:suppressLineNumbers/>
    </w:pPr>
    <w:rPr>
      <w:rFonts w:cs="Lucida Sans"/>
    </w:rPr>
  </w:style>
  <w:style w:type="paragraph" w:styleId="49">
    <w:name w:val="List Paragraph"/>
    <w:basedOn w:val="1"/>
    <w:qFormat/>
    <w:uiPriority w:val="34"/>
    <w:pPr>
      <w:ind w:left="720"/>
      <w:contextualSpacing/>
    </w:pPr>
  </w:style>
  <w:style w:type="paragraph" w:customStyle="1" w:styleId="50">
    <w:name w:val="Header and Footer"/>
    <w:basedOn w:val="1"/>
    <w:qFormat/>
    <w:uiPriority w:val="0"/>
  </w:style>
  <w:style w:type="character" w:customStyle="1" w:styleId="51">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AEC3A2-3783-4889-A0DC-214CFF629084}">
  <ds:schemaRefs/>
</ds:datastoreItem>
</file>

<file path=docProps/app.xml><?xml version="1.0" encoding="utf-8"?>
<Properties xmlns="http://schemas.openxmlformats.org/officeDocument/2006/extended-properties" xmlns:vt="http://schemas.openxmlformats.org/officeDocument/2006/docPropsVTypes">
  <Template>Normal</Template>
  <Pages>1</Pages>
  <Words>22986</Words>
  <Characters>131026</Characters>
  <Lines>1091</Lines>
  <Paragraphs>307</Paragraphs>
  <TotalTime>24</TotalTime>
  <ScaleCrop>false</ScaleCrop>
  <LinksUpToDate>false</LinksUpToDate>
  <CharactersWithSpaces>153705</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2026-05-14T15:02:00Z</dcterms:created>
  <dc:creator>ETH26</dc:creator>
  <cp:lastModifiedBy>EMR-USER</cp:lastModifiedBy>
  <cp:lastPrinted>2026-07-23T08:34:00Z</cp:lastPrinted>
  <dcterms:modified xsi:type="dcterms:W3CDTF">2026-10-20T09:33:16Z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2CAE78A9B37F45FF8FC72032351866C2_12</vt:lpwstr>
  </property>
  <property fmtid="{D5CDD505-2E9C-101B-9397-08002B2CF9AE}" pid="4" name="ZOTERO_PREF_1">
    <vt:lpwstr>&lt;data data-version="3" zotero-version="9.0.4"&gt;&lt;session id="k4XeZuvO"/&gt;&lt;style id="http://www.zotero.org/styles/apa" locale="en-US" hasBibliography="1" bibliographyStyleHasBeenSet="0"/&gt;&lt;prefs&gt;&lt;pref name="fieldType" value="Field"/&gt;&lt;/prefs&gt;&lt;/data&gt;</vt:lpwstr>
  </property>
</Properties>
</file>