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7FE91A1F"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762C4D">
        <w:rPr>
          <w:rFonts w:cs="Calibri"/>
          <w:b/>
          <w:bCs/>
          <w:sz w:val="60"/>
          <w:szCs w:val="60"/>
          <w:lang w:val="en-IN"/>
        </w:rPr>
        <w:t>ANALYSIS OF COMMERCIAL ELECTRICITY CONSUMPTION IN INDIAN STATE</w:t>
      </w:r>
      <w:r w:rsidRPr="3CF3360C">
        <w:rPr>
          <w:rFonts w:cs="Calibri"/>
          <w:b/>
          <w:bCs/>
          <w:sz w:val="60"/>
          <w:szCs w:val="60"/>
        </w:rPr>
        <w:t>”</w:t>
      </w:r>
    </w:p>
    <w:p w14:paraId="72F0468D" w14:textId="77777777" w:rsidR="00590954" w:rsidRDefault="005920A3">
      <w:pPr>
        <w:spacing w:line="360" w:lineRule="auto"/>
        <w:ind w:right="689"/>
        <w:jc w:val="center"/>
        <w:rPr>
          <w:rFonts w:cs="Calibri"/>
          <w:sz w:val="40"/>
          <w:szCs w:val="40"/>
        </w:rPr>
      </w:pPr>
      <w:r>
        <w:rPr>
          <w:rFonts w:cs="Calibri"/>
          <w:b/>
          <w:sz w:val="40"/>
          <w:szCs w:val="40"/>
        </w:rPr>
        <w:t>“College Name”</w:t>
      </w:r>
    </w:p>
    <w:tbl>
      <w:tblPr>
        <w:tblW w:w="7516" w:type="dxa"/>
        <w:jc w:val="center"/>
        <w:tblInd w:w="-2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309"/>
        <w:gridCol w:w="3207"/>
      </w:tblGrid>
      <w:tr w:rsidR="00590954" w14:paraId="65D9C8D4" w14:textId="77777777" w:rsidTr="005A10AC">
        <w:trPr>
          <w:trHeight w:val="446"/>
          <w:jc w:val="center"/>
        </w:trPr>
        <w:tc>
          <w:tcPr>
            <w:tcW w:w="430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3207"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005A10AC">
        <w:trPr>
          <w:trHeight w:val="1062"/>
          <w:jc w:val="center"/>
        </w:trPr>
        <w:tc>
          <w:tcPr>
            <w:tcW w:w="4309" w:type="dxa"/>
            <w:vAlign w:val="center"/>
          </w:tcPr>
          <w:p w14:paraId="5A39BBE3" w14:textId="044E33CC" w:rsidR="00590954" w:rsidRDefault="000B3B42">
            <w:pPr>
              <w:pStyle w:val="TableParagraph"/>
              <w:spacing w:before="89" w:line="360" w:lineRule="auto"/>
              <w:ind w:right="246"/>
              <w:jc w:val="center"/>
              <w:rPr>
                <w:rFonts w:ascii="Calibri" w:hAnsi="Calibri" w:cs="SimSun"/>
                <w:sz w:val="24"/>
                <w:szCs w:val="24"/>
              </w:rPr>
            </w:pPr>
            <w:r>
              <w:rPr>
                <w:rFonts w:ascii="Calibri" w:hAnsi="Calibri" w:cs="SimSun"/>
                <w:sz w:val="24"/>
                <w:szCs w:val="24"/>
              </w:rPr>
              <w:t>880D219517D623795B0439D59E1FC5BA</w:t>
            </w:r>
          </w:p>
        </w:tc>
        <w:tc>
          <w:tcPr>
            <w:tcW w:w="3207" w:type="dxa"/>
            <w:vAlign w:val="center"/>
          </w:tcPr>
          <w:p w14:paraId="41C8F396" w14:textId="68CC6242" w:rsidR="00590954" w:rsidRDefault="00646A43">
            <w:pPr>
              <w:pStyle w:val="TableParagraph"/>
              <w:spacing w:before="89" w:line="360" w:lineRule="auto"/>
              <w:rPr>
                <w:rFonts w:ascii="Calibri" w:hAnsi="Calibri" w:cs="SimSun"/>
                <w:sz w:val="24"/>
                <w:szCs w:val="24"/>
              </w:rPr>
            </w:pPr>
            <w:r>
              <w:rPr>
                <w:rFonts w:ascii="Calibri" w:hAnsi="Calibri" w:cs="SimSun"/>
                <w:sz w:val="24"/>
                <w:szCs w:val="24"/>
              </w:rPr>
              <w:t>C.BENOFER JOHN ELMER</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8602" w:type="dxa"/>
        <w:tblLayout w:type="fixed"/>
        <w:tblCellMar>
          <w:left w:w="0" w:type="dxa"/>
          <w:right w:w="0" w:type="dxa"/>
        </w:tblCellMar>
        <w:tblLook w:val="01E0" w:firstRow="1" w:lastRow="1" w:firstColumn="1" w:lastColumn="1" w:noHBand="0" w:noVBand="0"/>
      </w:tblPr>
      <w:tblGrid>
        <w:gridCol w:w="8580"/>
        <w:gridCol w:w="22"/>
      </w:tblGrid>
      <w:tr w:rsidR="00590954" w14:paraId="1299C43A" w14:textId="77777777" w:rsidTr="005E6F3B">
        <w:trPr>
          <w:trHeight w:val="1237"/>
        </w:trPr>
        <w:tc>
          <w:tcPr>
            <w:tcW w:w="8580"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22"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005E6F3B">
        <w:trPr>
          <w:trHeight w:val="432"/>
        </w:trPr>
        <w:tc>
          <w:tcPr>
            <w:tcW w:w="8580" w:type="dxa"/>
            <w:vAlign w:val="center"/>
          </w:tcPr>
          <w:tbl>
            <w:tblPr>
              <w:tblStyle w:val="TableGrid"/>
              <w:tblpPr w:leftFromText="180" w:rightFromText="180" w:vertAnchor="text" w:horzAnchor="page" w:tblpX="3061" w:tblpY="159"/>
              <w:tblOverlap w:val="never"/>
              <w:tblW w:w="5180" w:type="dxa"/>
              <w:tblInd w:w="13" w:type="dxa"/>
              <w:tblLayout w:type="fixed"/>
              <w:tblLook w:val="04A0" w:firstRow="1" w:lastRow="0" w:firstColumn="1" w:lastColumn="0" w:noHBand="0" w:noVBand="1"/>
            </w:tblPr>
            <w:tblGrid>
              <w:gridCol w:w="2312"/>
              <w:gridCol w:w="2868"/>
            </w:tblGrid>
            <w:tr w:rsidR="003800BF" w14:paraId="278198EF" w14:textId="77777777" w:rsidTr="005E6F3B">
              <w:trPr>
                <w:trHeight w:val="481"/>
              </w:trPr>
              <w:tc>
                <w:tcPr>
                  <w:tcW w:w="2312" w:type="dxa"/>
                </w:tcPr>
                <w:p w14:paraId="2C7DBA23" w14:textId="26F3AECD" w:rsidR="00A82795" w:rsidRDefault="00A82795" w:rsidP="00707928">
                  <w:pPr>
                    <w:pStyle w:val="BodyText"/>
                    <w:jc w:val="center"/>
                    <w:rPr>
                      <w:b/>
                      <w:bCs/>
                      <w:sz w:val="32"/>
                      <w:szCs w:val="32"/>
                    </w:rPr>
                  </w:pPr>
                  <w:r>
                    <w:rPr>
                      <w:rFonts w:ascii="Calibri" w:hAnsi="Calibri" w:cs="Calibri"/>
                      <w:sz w:val="24"/>
                      <w:szCs w:val="24"/>
                    </w:rPr>
                    <w:t>TRAINER NAME</w:t>
                  </w:r>
                </w:p>
              </w:tc>
              <w:tc>
                <w:tcPr>
                  <w:tcW w:w="2868" w:type="dxa"/>
                </w:tcPr>
                <w:p w14:paraId="6E5AABE6" w14:textId="7624A8D4" w:rsidR="00A82795" w:rsidRDefault="00A82795" w:rsidP="00707928">
                  <w:pPr>
                    <w:pStyle w:val="BodyText"/>
                    <w:jc w:val="center"/>
                    <w:rPr>
                      <w:b/>
                      <w:bCs/>
                      <w:sz w:val="32"/>
                      <w:szCs w:val="32"/>
                    </w:rPr>
                  </w:pPr>
                  <w:r w:rsidRPr="009573A6">
                    <w:rPr>
                      <w:rFonts w:ascii="Calibri" w:hAnsi="Calibri" w:cs="Calibri"/>
                      <w:sz w:val="24"/>
                      <w:szCs w:val="24"/>
                    </w:rPr>
                    <w:t>R</w:t>
                  </w:r>
                  <w:r w:rsidRPr="009573A6">
                    <w:rPr>
                      <w:rFonts w:ascii="Calibri" w:hAnsi="Calibri" w:cs="Calibri"/>
                    </w:rPr>
                    <w:t xml:space="preserve"> </w:t>
                  </w:r>
                  <w:r w:rsidRPr="009573A6">
                    <w:rPr>
                      <w:rFonts w:ascii="Calibri" w:hAnsi="Calibri" w:cs="Calibri"/>
                      <w:sz w:val="22"/>
                      <w:szCs w:val="22"/>
                    </w:rPr>
                    <w:t>UMAMAHESWARI</w:t>
                  </w:r>
                </w:p>
              </w:tc>
            </w:tr>
            <w:tr w:rsidR="003800BF" w14:paraId="1307D346" w14:textId="77777777" w:rsidTr="005E6F3B">
              <w:trPr>
                <w:trHeight w:val="501"/>
              </w:trPr>
              <w:tc>
                <w:tcPr>
                  <w:tcW w:w="2312" w:type="dxa"/>
                </w:tcPr>
                <w:p w14:paraId="31D4BE66" w14:textId="2B35539E" w:rsidR="00A82795" w:rsidRDefault="003800BF" w:rsidP="00A82795">
                  <w:pPr>
                    <w:pStyle w:val="BodyText"/>
                    <w:rPr>
                      <w:b/>
                      <w:bCs/>
                      <w:sz w:val="32"/>
                      <w:szCs w:val="32"/>
                    </w:rPr>
                  </w:pPr>
                  <w:r>
                    <w:rPr>
                      <w:rFonts w:ascii="Calibri" w:hAnsi="Calibri" w:cs="Calibri"/>
                      <w:sz w:val="24"/>
                      <w:szCs w:val="24"/>
                    </w:rPr>
                    <w:t xml:space="preserve">    MASTER TRAINER</w:t>
                  </w:r>
                </w:p>
              </w:tc>
              <w:tc>
                <w:tcPr>
                  <w:tcW w:w="2868" w:type="dxa"/>
                </w:tcPr>
                <w:p w14:paraId="49992406" w14:textId="776DCC04" w:rsidR="00A82795" w:rsidRDefault="00A82795" w:rsidP="00707928">
                  <w:pPr>
                    <w:pStyle w:val="BodyText"/>
                    <w:jc w:val="center"/>
                    <w:rPr>
                      <w:b/>
                      <w:bCs/>
                      <w:sz w:val="32"/>
                      <w:szCs w:val="32"/>
                    </w:rPr>
                  </w:pPr>
                  <w:r w:rsidRPr="009573A6">
                    <w:rPr>
                      <w:rFonts w:ascii="Calibri" w:hAnsi="Calibri" w:cs="Calibri"/>
                      <w:sz w:val="24"/>
                      <w:szCs w:val="24"/>
                    </w:rPr>
                    <w:t>R</w:t>
                  </w:r>
                  <w:r w:rsidRPr="009573A6">
                    <w:rPr>
                      <w:rFonts w:ascii="Calibri" w:hAnsi="Calibri" w:cs="Calibri"/>
                    </w:rPr>
                    <w:t xml:space="preserve"> </w:t>
                  </w:r>
                  <w:r w:rsidRPr="009573A6">
                    <w:rPr>
                      <w:rFonts w:ascii="Calibri" w:hAnsi="Calibri" w:cs="Calibri"/>
                      <w:sz w:val="22"/>
                      <w:szCs w:val="22"/>
                    </w:rPr>
                    <w:t>UMAMAHESWARI</w:t>
                  </w:r>
                </w:p>
              </w:tc>
            </w:tr>
          </w:tbl>
          <w:p w14:paraId="3CF2D8B6" w14:textId="77777777" w:rsidR="00590954" w:rsidRDefault="00590954">
            <w:pPr>
              <w:pStyle w:val="TableParagraph"/>
              <w:spacing w:line="360" w:lineRule="auto"/>
              <w:jc w:val="center"/>
              <w:rPr>
                <w:rFonts w:ascii="Calibri" w:hAnsi="Calibri" w:cs="Calibri"/>
                <w:bCs/>
                <w:sz w:val="28"/>
                <w:szCs w:val="28"/>
              </w:rPr>
            </w:pPr>
          </w:p>
        </w:tc>
        <w:tc>
          <w:tcPr>
            <w:tcW w:w="22" w:type="dxa"/>
            <w:vAlign w:val="center"/>
          </w:tcPr>
          <w:p w14:paraId="41F9D042" w14:textId="6EE58FF1" w:rsidR="00590954" w:rsidRDefault="00590954" w:rsidP="00A82795">
            <w:pPr>
              <w:pStyle w:val="TableParagraph"/>
              <w:spacing w:line="360" w:lineRule="auto"/>
              <w:ind w:right="28"/>
              <w:rPr>
                <w:rFonts w:ascii="Calibri" w:hAnsi="Calibri" w:cs="Calibri"/>
                <w:sz w:val="28"/>
                <w:szCs w:val="28"/>
              </w:rPr>
            </w:pPr>
          </w:p>
        </w:tc>
      </w:tr>
      <w:tr w:rsidR="00590954" w14:paraId="6B5A0A7D" w14:textId="77777777" w:rsidTr="005E6F3B">
        <w:trPr>
          <w:trHeight w:val="432"/>
        </w:trPr>
        <w:tc>
          <w:tcPr>
            <w:tcW w:w="8580"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22" w:type="dxa"/>
            <w:vAlign w:val="center"/>
          </w:tcPr>
          <w:p w14:paraId="40B4A949" w14:textId="6F5EC8C2" w:rsidR="00590954" w:rsidRDefault="00590954" w:rsidP="00A82795">
            <w:pPr>
              <w:pStyle w:val="TableParagraph"/>
              <w:spacing w:line="360" w:lineRule="auto"/>
              <w:ind w:right="28"/>
              <w:rPr>
                <w:rFonts w:ascii="Calibri" w:hAnsi="Calibri" w:cs="Calibri"/>
                <w:bCs/>
                <w:sz w:val="28"/>
                <w:szCs w:val="28"/>
              </w:rPr>
            </w:pP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549F79D" w14:textId="52EFD141" w:rsidR="63DB29A2" w:rsidRDefault="009E197D" w:rsidP="698B7080">
      <w:pPr>
        <w:jc w:val="both"/>
        <w:rPr>
          <w:rFonts w:ascii="Roboto" w:eastAsia="Roboto" w:hAnsi="Roboto" w:cs="Roboto"/>
          <w:sz w:val="24"/>
          <w:szCs w:val="24"/>
        </w:rPr>
      </w:pPr>
      <w:r w:rsidRPr="009E197D">
        <w:rPr>
          <w:rFonts w:ascii="Roboto" w:eastAsia="Roboto" w:hAnsi="Roboto" w:cs="Roboto"/>
          <w:color w:val="111111"/>
          <w:sz w:val="24"/>
          <w:szCs w:val="24"/>
        </w:rPr>
        <w:t>This study presents a comprehensive analysis of commercial electricity consumption trends in a specific Indian state. Utilizing historical consumption data, socio-economic indicators, and regional characteristics, the study aims to identify patterns, drivers, and challenges associated with commercial electricity usage. Through statistical analysis and data visualization techniques, the research provides insights into peak demand periods, seasonal variations, and sector-specific consumption patterns within the commercial sector. Furthermore, the study examines the impact of regulatory policies, economic fluctuations, and technological advancements on commercial electricity consumption. The findings of this analysis offer valuable insights for policymakers, energy planners, and stakeholders to formulate effective strategies for optimizing electricity usage, enhancing energy efficiency, and promoting sustainable development in the commercial sector of the Indian state</w:t>
      </w:r>
      <w:r w:rsidR="63DB29A2" w:rsidRPr="698B7080">
        <w:rPr>
          <w:rFonts w:ascii="Roboto" w:eastAsia="Roboto" w:hAnsi="Roboto" w:cs="Roboto"/>
          <w:color w:val="111111"/>
          <w:sz w:val="24"/>
          <w:szCs w:val="24"/>
        </w:rPr>
        <w:t>.</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0E974FCC" w:rsidR="00590954" w:rsidRDefault="00195EF0">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0210FA78" w:rsidR="00590954" w:rsidRDefault="00195EF0">
            <w:pPr>
              <w:pStyle w:val="BodyText"/>
              <w:jc w:val="center"/>
              <w:rPr>
                <w:sz w:val="24"/>
                <w:szCs w:val="24"/>
              </w:rPr>
            </w:pPr>
            <w:r>
              <w:rPr>
                <w:sz w:val="24"/>
                <w:szCs w:val="24"/>
              </w:rPr>
              <w:t>7</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30B0C5BE" w:rsidR="00590954" w:rsidRDefault="00195EF0">
            <w:pPr>
              <w:pStyle w:val="BodyText"/>
              <w:jc w:val="center"/>
              <w:rPr>
                <w:sz w:val="24"/>
                <w:szCs w:val="24"/>
              </w:rPr>
            </w:pPr>
            <w:r>
              <w:rPr>
                <w:sz w:val="24"/>
                <w:szCs w:val="24"/>
              </w:rPr>
              <w:t>8</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4ED85227" w:rsidR="00590954" w:rsidRDefault="00195EF0">
            <w:pPr>
              <w:pStyle w:val="BodyText"/>
              <w:jc w:val="center"/>
              <w:rPr>
                <w:sz w:val="24"/>
                <w:szCs w:val="24"/>
              </w:rPr>
            </w:pPr>
            <w:r>
              <w:rPr>
                <w:sz w:val="24"/>
                <w:szCs w:val="24"/>
              </w:rPr>
              <w:t>10</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140143E2" w:rsidR="00590954" w:rsidRDefault="00195EF0">
            <w:pPr>
              <w:pStyle w:val="BodyText"/>
              <w:jc w:val="center"/>
              <w:rPr>
                <w:sz w:val="24"/>
                <w:szCs w:val="24"/>
              </w:rPr>
            </w:pPr>
            <w:r>
              <w:rPr>
                <w:sz w:val="24"/>
                <w:szCs w:val="24"/>
              </w:rPr>
              <w:t>15</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7E0FB15D" w:rsidR="005E3C63" w:rsidRDefault="00195EF0">
            <w:pPr>
              <w:pStyle w:val="BodyText"/>
              <w:jc w:val="center"/>
              <w:rPr>
                <w:sz w:val="24"/>
                <w:szCs w:val="24"/>
              </w:rPr>
            </w:pPr>
            <w:r>
              <w:rPr>
                <w:sz w:val="24"/>
                <w:szCs w:val="24"/>
              </w:rPr>
              <w:t>16</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7E6E7E4C" w:rsidR="00590954" w:rsidRDefault="00195EF0">
            <w:pPr>
              <w:pStyle w:val="BodyText"/>
              <w:jc w:val="center"/>
              <w:rPr>
                <w:sz w:val="24"/>
                <w:szCs w:val="24"/>
              </w:rPr>
            </w:pPr>
            <w:r>
              <w:rPr>
                <w:sz w:val="24"/>
                <w:szCs w:val="24"/>
              </w:rPr>
              <w:t>17</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60A70380" w:rsidR="00590954" w:rsidRDefault="00195EF0">
            <w:pPr>
              <w:pStyle w:val="BodyText"/>
              <w:jc w:val="center"/>
              <w:rPr>
                <w:sz w:val="24"/>
                <w:szCs w:val="24"/>
              </w:rPr>
            </w:pPr>
            <w:r>
              <w:rPr>
                <w:sz w:val="24"/>
                <w:szCs w:val="24"/>
              </w:rPr>
              <w:t>17</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5E6F3B">
          <w:headerReference w:type="even" r:id="rId20"/>
          <w:headerReference w:type="default" r:id="rId21"/>
          <w:footerReference w:type="even" r:id="rId22"/>
          <w:footerReference w:type="default" r:id="rId23"/>
          <w:headerReference w:type="first" r:id="rId24"/>
          <w:footerReference w:type="first" r:id="rId25"/>
          <w:pgSz w:w="11906" w:h="16838" w:code="9"/>
          <w:pgMar w:top="1440" w:right="1296" w:bottom="1440" w:left="1440" w:header="720" w:footer="720" w:gutter="0"/>
          <w:pgBorders w:offsetFrom="page">
            <w:top w:val="apples" w:sz="4" w:space="24" w:color="auto"/>
            <w:left w:val="apples" w:sz="4" w:space="24" w:color="auto"/>
            <w:bottom w:val="apples" w:sz="4" w:space="24" w:color="auto"/>
            <w:right w:val="apples" w:sz="4" w:space="24" w:color="auto"/>
          </w:pgBorders>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D847BEF" w14:textId="0B12F3AF" w:rsidR="5EB6A449" w:rsidRDefault="00F76EF3" w:rsidP="00F76EF3">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r w:rsidRPr="00F76EF3">
        <w:rPr>
          <w:rFonts w:ascii="Roboto" w:eastAsia="Roboto" w:hAnsi="Roboto" w:cs="Roboto"/>
          <w:color w:val="111111"/>
          <w:sz w:val="24"/>
          <w:szCs w:val="24"/>
        </w:rPr>
        <w:t>To identify the key factors influencing commercial electricity consumption, includ</w:t>
      </w:r>
      <w:r>
        <w:rPr>
          <w:rFonts w:ascii="Roboto" w:eastAsia="Roboto" w:hAnsi="Roboto" w:cs="Roboto"/>
          <w:color w:val="111111"/>
          <w:sz w:val="24"/>
          <w:szCs w:val="24"/>
        </w:rPr>
        <w:t>ing economic variables, sector</w:t>
      </w:r>
      <w:r w:rsidRPr="00F76EF3">
        <w:rPr>
          <w:rFonts w:ascii="Roboto" w:eastAsia="Roboto" w:hAnsi="Roboto" w:cs="Roboto"/>
          <w:color w:val="111111"/>
          <w:sz w:val="24"/>
          <w:szCs w:val="24"/>
        </w:rPr>
        <w:t xml:space="preserve"> activities, population density, and climatic variations. To examine the temporal trends and variations in commercial electricity usage, considering seasonal fluctuations, economic cy</w:t>
      </w:r>
      <w:r>
        <w:rPr>
          <w:rFonts w:ascii="Roboto" w:eastAsia="Roboto" w:hAnsi="Roboto" w:cs="Roboto"/>
          <w:color w:val="111111"/>
          <w:sz w:val="24"/>
          <w:szCs w:val="24"/>
        </w:rPr>
        <w:t xml:space="preserve">cles, and policy interventions. </w:t>
      </w:r>
      <w:r w:rsidRPr="00F76EF3">
        <w:rPr>
          <w:rFonts w:ascii="Roboto" w:eastAsia="Roboto" w:hAnsi="Roboto" w:cs="Roboto"/>
          <w:color w:val="111111"/>
          <w:sz w:val="24"/>
          <w:szCs w:val="24"/>
        </w:rPr>
        <w:t>To assess the impact of policy measures, such as tariff structures, subsidies, and energy efficiency programs, on commercial el</w:t>
      </w:r>
      <w:r>
        <w:rPr>
          <w:rFonts w:ascii="Roboto" w:eastAsia="Roboto" w:hAnsi="Roboto" w:cs="Roboto"/>
          <w:color w:val="111111"/>
          <w:sz w:val="24"/>
          <w:szCs w:val="24"/>
        </w:rPr>
        <w:t xml:space="preserve">ectricity consumption behavior. </w:t>
      </w:r>
      <w:r w:rsidRPr="00F76EF3">
        <w:rPr>
          <w:rFonts w:ascii="Roboto" w:eastAsia="Roboto" w:hAnsi="Roboto" w:cs="Roboto"/>
          <w:color w:val="111111"/>
          <w:sz w:val="24"/>
          <w:szCs w:val="24"/>
        </w:rPr>
        <w:t>To provide recommendations for policymakers, utility providers, and stakeholders to optimize energy management strategies, promote energy efficiency, and foster sustainable consumption practices within the commercial sector.</w:t>
      </w:r>
      <w:r>
        <w:rPr>
          <w:rFonts w:ascii="Roboto" w:eastAsia="Roboto" w:hAnsi="Roboto" w:cs="Roboto"/>
          <w:color w:val="111111"/>
          <w:sz w:val="24"/>
          <w:szCs w:val="24"/>
        </w:rPr>
        <w:t xml:space="preserve"> </w:t>
      </w:r>
      <w:r w:rsidRPr="00F76EF3">
        <w:rPr>
          <w:rFonts w:ascii="Roboto" w:eastAsia="Roboto" w:hAnsi="Roboto" w:cs="Roboto"/>
          <w:color w:val="111111"/>
          <w:sz w:val="24"/>
          <w:szCs w:val="24"/>
        </w:rPr>
        <w:t>By addressing these objectives, this research seeks to contribute to the development of evidence-based energy policies and strategies tailored to the unique context of commercial electricity consumption in Indian states, ultimately fostering sustainable development and energy security.</w:t>
      </w: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145B4307"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Data Collection:</w:t>
      </w:r>
      <w:r w:rsidRPr="00DA1FA5">
        <w:rPr>
          <w:rFonts w:ascii="Roboto" w:eastAsia="Roboto" w:hAnsi="Roboto" w:cs="Roboto"/>
          <w:color w:val="111111"/>
          <w:sz w:val="24"/>
          <w:szCs w:val="24"/>
        </w:rPr>
        <w:t xml:space="preserve"> Gather historical electricity consumption data from the state's power distribution companies (DISCOMs), government records, and relevant agencies. Additionally, collect demographic, economic, and geographic data that may influence consumption patterns.</w:t>
      </w:r>
    </w:p>
    <w:p w14:paraId="51E77548"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Data Preprocessing:</w:t>
      </w:r>
      <w:r w:rsidRPr="00DA1FA5">
        <w:rPr>
          <w:rFonts w:ascii="Roboto" w:eastAsia="Roboto" w:hAnsi="Roboto" w:cs="Roboto"/>
          <w:color w:val="111111"/>
          <w:sz w:val="24"/>
          <w:szCs w:val="24"/>
        </w:rPr>
        <w:t xml:space="preserve"> Clean and preprocess the collected data, including handling missing values, outliers, and inconsistencies. Normalize the data if necessary to ensure comparability.</w:t>
      </w:r>
    </w:p>
    <w:p w14:paraId="71C648E8"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Exploratory Data Analysis (EDA):</w:t>
      </w:r>
      <w:r w:rsidRPr="00DA1FA5">
        <w:rPr>
          <w:rFonts w:ascii="Roboto" w:eastAsia="Roboto" w:hAnsi="Roboto" w:cs="Roboto"/>
          <w:color w:val="111111"/>
          <w:sz w:val="24"/>
          <w:szCs w:val="24"/>
        </w:rPr>
        <w:t xml:space="preserve"> Conduct EDA to understand consumption trends, seasonal variations, and correlations with demographic or economic factors. Visualize the data using graphs, charts, and heatmaps to identify patterns and insights.</w:t>
      </w:r>
    </w:p>
    <w:p w14:paraId="01B02B13"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Time-Series Analysis:</w:t>
      </w:r>
      <w:r w:rsidRPr="00DA1FA5">
        <w:rPr>
          <w:rFonts w:ascii="Roboto" w:eastAsia="Roboto" w:hAnsi="Roboto" w:cs="Roboto"/>
          <w:color w:val="111111"/>
          <w:sz w:val="24"/>
          <w:szCs w:val="24"/>
        </w:rPr>
        <w:t xml:space="preserve"> Apply time-series analysis techniques to model and forecast electricity consumption over time. This could involve methods such as ARIMA (AutoRegressive Integrated Moving Average) or Prophet.</w:t>
      </w:r>
    </w:p>
    <w:p w14:paraId="5E712D1A"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p>
    <w:p w14:paraId="36DC16F0"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Segmentation Analysis:</w:t>
      </w:r>
      <w:r w:rsidRPr="00DA1FA5">
        <w:rPr>
          <w:rFonts w:ascii="Roboto" w:eastAsia="Roboto" w:hAnsi="Roboto" w:cs="Roboto"/>
          <w:color w:val="111111"/>
          <w:sz w:val="24"/>
          <w:szCs w:val="24"/>
        </w:rPr>
        <w:t xml:space="preserve"> Segment the population based on demographic or socioeconomic factors to identify different consumption patterns among various groups. This could involve clustering techniques like K-means clustering.</w:t>
      </w:r>
    </w:p>
    <w:p w14:paraId="34878975"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Predictive Modeling:</w:t>
      </w:r>
      <w:r w:rsidRPr="00DA1FA5">
        <w:rPr>
          <w:rFonts w:ascii="Roboto" w:eastAsia="Roboto" w:hAnsi="Roboto" w:cs="Roboto"/>
          <w:color w:val="111111"/>
          <w:sz w:val="24"/>
          <w:szCs w:val="24"/>
        </w:rPr>
        <w:t xml:space="preserve"> Develop predictive models to forecast future electricity consumption based on historical data and relevant predictors. Machine learning algorithms like regression, decision trees, or neural networks can be used for this purpose.</w:t>
      </w:r>
    </w:p>
    <w:p w14:paraId="7A9E8AE6"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GIS Mapping: Utilize Geographic Information System (GIS) mapping to visualize spatial patterns of electricity consumption across different regions within the state. This can help identify areas of high or low consumption and inform infrastructure planning.</w:t>
      </w:r>
    </w:p>
    <w:p w14:paraId="502670F2"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Policy Analysis: Evaluate existing policies and regulations related to electricity consumption in the state. Assess their effectiveness and identify areas for improvement or new interventions to promote energy efficiency and conservation.</w:t>
      </w:r>
    </w:p>
    <w:p w14:paraId="26DF4342"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Stakeholder Engagement: Engage with key stakeholders such as government agencies, DISCOMs, industry associations, and consumer groups to gather insights, validate findings, and garner support for proposed solutions.</w:t>
      </w:r>
    </w:p>
    <w:p w14:paraId="27EC36DC"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Implementation of Solutions: Based on the analysis and insights gained, develop and implement targeted strategies to manage and optimize electricity consumption in the state. This may include incentives for energy efficiency, infrastructure upgrades, demand-side management programs, and public awareness campaigns.</w:t>
      </w:r>
    </w:p>
    <w:p w14:paraId="4C3AF3C1"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Monitoring and Evaluation: Continuously monitor the effectiveness of implemented solutions and adjust strategies as needed. Regularly evaluate consumption patterns and trends to ensure alignment with goals and objectives.</w:t>
      </w:r>
    </w:p>
    <w:p w14:paraId="51B7BE25" w14:textId="5BF7DF88" w:rsidR="23F00B64"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00DA1FA5">
        <w:rPr>
          <w:rFonts w:ascii="Roboto" w:eastAsia="Roboto" w:hAnsi="Roboto" w:cs="Roboto"/>
          <w:color w:val="111111"/>
          <w:sz w:val="24"/>
          <w:szCs w:val="24"/>
        </w:rPr>
        <w:t>By following these steps, a thorough analysis of electricity consumption in an Indian state can be conducted, leading to informed decision-making and effective management of energy resources.</w:t>
      </w:r>
      <w:r w:rsidR="23F00B64" w:rsidRPr="698B7080">
        <w:rPr>
          <w:rFonts w:ascii="Roboto" w:eastAsia="Roboto" w:hAnsi="Roboto" w:cs="Roboto"/>
          <w:color w:val="111111"/>
          <w:sz w:val="24"/>
          <w:szCs w:val="24"/>
        </w:rPr>
        <w:t>.</w:t>
      </w:r>
    </w:p>
    <w:p w14:paraId="380A14DC" w14:textId="0635BF31" w:rsidR="00590954" w:rsidRPr="005C52FA" w:rsidRDefault="005C52FA" w:rsidP="00DA1FA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5C52FA">
        <w:rPr>
          <w:rFonts w:ascii="Roboto" w:eastAsia="Roboto" w:hAnsi="Roboto" w:cs="Roboto"/>
          <w:color w:val="111111"/>
          <w:sz w:val="32"/>
          <w:szCs w:val="32"/>
        </w:rPr>
        <w:t>1.3</w:t>
      </w:r>
      <w:r w:rsidR="4A0DF688" w:rsidRPr="005C52FA">
        <w:rPr>
          <w:rFonts w:ascii="Times New Roman" w:hAnsi="Times New Roman" w:cs="Times New Roman"/>
          <w:b/>
          <w:bCs/>
          <w:sz w:val="32"/>
          <w:szCs w:val="32"/>
        </w:rPr>
        <w:t>Feature</w:t>
      </w:r>
    </w:p>
    <w:p w14:paraId="635810E6" w14:textId="348897D3" w:rsidR="00661801" w:rsidRPr="00CF1368" w:rsidRDefault="00661801" w:rsidP="00661801">
      <w:pPr>
        <w:spacing w:before="180" w:after="0"/>
        <w:ind w:right="-20"/>
        <w:rPr>
          <w:rFonts w:ascii="Times New Roman" w:eastAsia="Roboto" w:hAnsi="Times New Roman" w:cs="Times New Roman"/>
          <w:color w:val="111111"/>
          <w:sz w:val="24"/>
          <w:szCs w:val="24"/>
        </w:rPr>
      </w:pPr>
      <w:r w:rsidRPr="001036EF">
        <w:rPr>
          <w:rFonts w:ascii="Times New Roman" w:eastAsia="Roboto" w:hAnsi="Times New Roman" w:cs="Times New Roman"/>
          <w:color w:val="111111"/>
          <w:sz w:val="28"/>
          <w:szCs w:val="28"/>
        </w:rPr>
        <w:t>Historical Consumption Data:</w:t>
      </w:r>
      <w:r w:rsidRPr="00CF1368">
        <w:rPr>
          <w:rFonts w:ascii="Times New Roman" w:eastAsia="Roboto" w:hAnsi="Times New Roman" w:cs="Times New Roman"/>
          <w:color w:val="111111"/>
          <w:sz w:val="24"/>
          <w:szCs w:val="24"/>
        </w:rPr>
        <w:t xml:space="preserve"> Collect historical data on electricity consumption at various levels (e.g., state, district, city) over a period of time to identify trends and patterns.</w:t>
      </w:r>
    </w:p>
    <w:p w14:paraId="448D3ACB" w14:textId="77777777" w:rsidR="00661801" w:rsidRPr="00CF1368" w:rsidRDefault="00661801" w:rsidP="00CF1368">
      <w:pPr>
        <w:spacing w:before="180" w:after="0"/>
        <w:ind w:right="-20"/>
        <w:jc w:val="right"/>
        <w:rPr>
          <w:rFonts w:ascii="Times New Roman" w:eastAsia="Roboto" w:hAnsi="Times New Roman" w:cs="Times New Roman"/>
          <w:color w:val="111111"/>
          <w:sz w:val="24"/>
          <w:szCs w:val="24"/>
        </w:rPr>
      </w:pPr>
    </w:p>
    <w:p w14:paraId="79156585"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Demographic Data:</w:t>
      </w:r>
      <w:r w:rsidRPr="00CF1368">
        <w:rPr>
          <w:rFonts w:ascii="Times New Roman" w:eastAsia="Roboto" w:hAnsi="Times New Roman" w:cs="Times New Roman"/>
          <w:color w:val="111111"/>
          <w:sz w:val="24"/>
          <w:szCs w:val="24"/>
        </w:rPr>
        <w:t xml:space="preserve"> Incorporate demographic variables such as population density, urbanization rate, income levels, and household size, as these factors can influence electricity consumption patterns.</w:t>
      </w:r>
    </w:p>
    <w:p w14:paraId="0F52FF50"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Economic Indicators:</w:t>
      </w:r>
      <w:r w:rsidRPr="00CF1368">
        <w:rPr>
          <w:rFonts w:ascii="Times New Roman" w:eastAsia="Roboto" w:hAnsi="Times New Roman" w:cs="Times New Roman"/>
          <w:color w:val="111111"/>
          <w:sz w:val="24"/>
          <w:szCs w:val="24"/>
        </w:rPr>
        <w:t xml:space="preserve"> Include economic indicators such as GDP per capita, industrial output, employment rates, and consumer spending, which can impact electricity demand.</w:t>
      </w:r>
    </w:p>
    <w:p w14:paraId="2F9AA4CB"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Geographic Factors:</w:t>
      </w:r>
      <w:r w:rsidRPr="00CF1368">
        <w:rPr>
          <w:rFonts w:ascii="Times New Roman" w:eastAsia="Roboto" w:hAnsi="Times New Roman" w:cs="Times New Roman"/>
          <w:color w:val="111111"/>
          <w:sz w:val="24"/>
          <w:szCs w:val="24"/>
        </w:rPr>
        <w:t xml:space="preserve"> Consider geographic features like terrain, climate, and geographic location, which can affect energy consumption for heating, cooling, and transportation.</w:t>
      </w:r>
    </w:p>
    <w:p w14:paraId="4C16F27E"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Infrastructure:</w:t>
      </w:r>
      <w:r w:rsidRPr="00CF1368">
        <w:rPr>
          <w:rFonts w:ascii="Times New Roman" w:eastAsia="Roboto" w:hAnsi="Times New Roman" w:cs="Times New Roman"/>
          <w:color w:val="111111"/>
          <w:sz w:val="24"/>
          <w:szCs w:val="24"/>
        </w:rPr>
        <w:t xml:space="preserve"> Assess the state of electricity infrastructure, including transmission lines, substations, and distribution networks, as well as the availability and reliability of electricity supply.</w:t>
      </w:r>
    </w:p>
    <w:p w14:paraId="2761B44D" w14:textId="7FB602A1"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 xml:space="preserve">Seasonal Variations: </w:t>
      </w:r>
      <w:r w:rsidRPr="00CF1368">
        <w:rPr>
          <w:rFonts w:ascii="Times New Roman" w:eastAsia="Roboto" w:hAnsi="Times New Roman" w:cs="Times New Roman"/>
          <w:color w:val="111111"/>
          <w:sz w:val="24"/>
          <w:szCs w:val="24"/>
        </w:rPr>
        <w:t>Analyze seasonal variations in electricity consumption due to factors like weather conditions, holidays, festivals, and agricultural cycles.</w:t>
      </w:r>
    </w:p>
    <w:p w14:paraId="67D090B6"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Time-of-Use Data:</w:t>
      </w:r>
      <w:r w:rsidRPr="00CF1368">
        <w:rPr>
          <w:rFonts w:ascii="Times New Roman" w:eastAsia="Roboto" w:hAnsi="Times New Roman" w:cs="Times New Roman"/>
          <w:color w:val="111111"/>
          <w:sz w:val="24"/>
          <w:szCs w:val="24"/>
        </w:rPr>
        <w:t xml:space="preserve"> Capture time-of-use data to understand consumption patterns throughout the day and week, which can inform demand-side management strategies.</w:t>
      </w:r>
    </w:p>
    <w:p w14:paraId="5DF39332"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Energy Prices:</w:t>
      </w:r>
      <w:r w:rsidRPr="00CF1368">
        <w:rPr>
          <w:rFonts w:ascii="Times New Roman" w:eastAsia="Roboto" w:hAnsi="Times New Roman" w:cs="Times New Roman"/>
          <w:color w:val="111111"/>
          <w:sz w:val="24"/>
          <w:szCs w:val="24"/>
        </w:rPr>
        <w:t xml:space="preserve"> Take into account electricity tariffs, fuel prices, subsidies, and government policies related to energy pricing, as these can influence consumption behavior.</w:t>
      </w:r>
    </w:p>
    <w:p w14:paraId="3D5FE2DA" w14:textId="38951D48"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Technological Factors:</w:t>
      </w:r>
      <w:r w:rsidRPr="00CF1368">
        <w:rPr>
          <w:rFonts w:ascii="Times New Roman" w:eastAsia="Roboto" w:hAnsi="Times New Roman" w:cs="Times New Roman"/>
          <w:color w:val="111111"/>
          <w:sz w:val="24"/>
          <w:szCs w:val="24"/>
        </w:rPr>
        <w:t xml:space="preserve"> Consider the adoption of energy-efficient technologies, renewable energy sources, sm</w:t>
      </w:r>
      <w:r w:rsidR="00CF1368" w:rsidRPr="00CF1368">
        <w:rPr>
          <w:rFonts w:ascii="Times New Roman" w:eastAsia="Roboto" w:hAnsi="Times New Roman" w:cs="Times New Roman"/>
          <w:color w:val="111111"/>
          <w:sz w:val="24"/>
          <w:szCs w:val="24"/>
        </w:rPr>
        <w:t>art meters, and IO</w:t>
      </w:r>
      <w:r w:rsidRPr="00CF1368">
        <w:rPr>
          <w:rFonts w:ascii="Times New Roman" w:eastAsia="Roboto" w:hAnsi="Times New Roman" w:cs="Times New Roman"/>
          <w:color w:val="111111"/>
          <w:sz w:val="24"/>
          <w:szCs w:val="24"/>
        </w:rPr>
        <w:t>T devices, which can impact electricity usage patterns.</w:t>
      </w:r>
    </w:p>
    <w:p w14:paraId="53E55489"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Policy and Regulatory Environment:</w:t>
      </w:r>
      <w:r w:rsidRPr="00CF1368">
        <w:rPr>
          <w:rFonts w:ascii="Times New Roman" w:eastAsia="Roboto" w:hAnsi="Times New Roman" w:cs="Times New Roman"/>
          <w:color w:val="111111"/>
          <w:sz w:val="24"/>
          <w:szCs w:val="24"/>
        </w:rPr>
        <w:t xml:space="preserve"> Evaluate existing policies, regulations, incentives, and initiatives aimed at promoting energy efficiency, renewable energy, and conservation.</w:t>
      </w:r>
    </w:p>
    <w:p w14:paraId="476C646F"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Consumer Behavior:</w:t>
      </w:r>
      <w:r w:rsidRPr="00CF1368">
        <w:rPr>
          <w:rFonts w:ascii="Times New Roman" w:eastAsia="Roboto" w:hAnsi="Times New Roman" w:cs="Times New Roman"/>
          <w:color w:val="111111"/>
          <w:sz w:val="24"/>
          <w:szCs w:val="24"/>
        </w:rPr>
        <w:t xml:space="preserve"> Study consumer behavior, preferences, awareness levels, and attitudes towards energy conservation and sustainability practices.</w:t>
      </w:r>
    </w:p>
    <w:p w14:paraId="0CEE781D"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Comparative Analysis:</w:t>
      </w:r>
      <w:r w:rsidRPr="00CF1368">
        <w:rPr>
          <w:rFonts w:ascii="Times New Roman" w:eastAsia="Roboto" w:hAnsi="Times New Roman" w:cs="Times New Roman"/>
          <w:color w:val="111111"/>
          <w:sz w:val="24"/>
          <w:szCs w:val="24"/>
        </w:rPr>
        <w:t xml:space="preserve"> Compare electricity consumption trends and patterns across different regions, demographic groups, or time periods to identify disparities and opportunities for improvement.</w:t>
      </w:r>
    </w:p>
    <w:p w14:paraId="1FDC37C8" w14:textId="1D698E30" w:rsidR="5EB6A449"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4"/>
          <w:szCs w:val="24"/>
        </w:rPr>
        <w:t>By incorporating these features into the analysis, a comprehensive understanding of electricity consumption in an Indian state can be achieved, facilitating informed decision-making and targeted interventions to optimize energy usage and promote sustainability.</w:t>
      </w:r>
    </w:p>
    <w:p w14:paraId="048FD84C" w14:textId="77777777" w:rsidR="00661801" w:rsidRPr="00661801" w:rsidRDefault="00661801" w:rsidP="00661801">
      <w:pPr>
        <w:spacing w:before="180" w:after="0"/>
        <w:ind w:right="-20"/>
        <w:rPr>
          <w:rFonts w:ascii="Roboto" w:eastAsia="Roboto" w:hAnsi="Roboto" w:cs="Roboto"/>
          <w:color w:val="111111"/>
          <w:sz w:val="24"/>
          <w:szCs w:val="24"/>
        </w:rPr>
      </w:pPr>
    </w:p>
    <w:p w14:paraId="6688E059" w14:textId="77777777" w:rsidR="00590954" w:rsidRPr="00E9057A"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E9057A">
        <w:rPr>
          <w:rFonts w:ascii="Times New Roman" w:hAnsi="Times New Roman" w:cs="Times New Roman"/>
          <w:b/>
          <w:bCs/>
          <w:sz w:val="32"/>
          <w:szCs w:val="32"/>
        </w:rPr>
        <w:t>Advantages</w:t>
      </w:r>
    </w:p>
    <w:p w14:paraId="03606CEF" w14:textId="77777777" w:rsidR="00661801" w:rsidRPr="00CF1368" w:rsidRDefault="00661801" w:rsidP="00661801">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Cs/>
          <w:sz w:val="24"/>
          <w:szCs w:val="24"/>
        </w:rPr>
      </w:pPr>
      <w:r w:rsidRPr="00CF1368">
        <w:rPr>
          <w:rFonts w:ascii="Times New Roman" w:hAnsi="Times New Roman" w:cs="Times New Roman"/>
          <w:bCs/>
          <w:sz w:val="28"/>
          <w:szCs w:val="28"/>
        </w:rPr>
        <w:t>Informed Decision-Making:</w:t>
      </w:r>
      <w:r w:rsidRPr="00CF1368">
        <w:rPr>
          <w:rFonts w:ascii="Times New Roman" w:hAnsi="Times New Roman" w:cs="Times New Roman"/>
          <w:bCs/>
          <w:sz w:val="24"/>
          <w:szCs w:val="24"/>
        </w:rPr>
        <w:t xml:space="preserve"> By understanding consumption patterns, policymakers and energy authorities can make informed decisions regarding infrastructure investment, </w:t>
      </w:r>
      <w:r w:rsidRPr="00CF1368">
        <w:rPr>
          <w:rFonts w:ascii="Times New Roman" w:hAnsi="Times New Roman" w:cs="Times New Roman"/>
          <w:bCs/>
          <w:sz w:val="24"/>
          <w:szCs w:val="24"/>
        </w:rPr>
        <w:lastRenderedPageBreak/>
        <w:t>energy planning, and policy formulation to meet current and future electricity needs efficiently.</w:t>
      </w:r>
    </w:p>
    <w:p w14:paraId="190923ED"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Resource Optimization:</w:t>
      </w:r>
      <w:r w:rsidRPr="00CF1368">
        <w:rPr>
          <w:rFonts w:ascii="Times New Roman" w:hAnsi="Times New Roman" w:cs="Times New Roman"/>
          <w:bCs/>
          <w:sz w:val="24"/>
          <w:szCs w:val="24"/>
        </w:rPr>
        <w:t xml:space="preserve"> Analyzing consumption data helps identify peak demand periods and regions, allowing for better allocation of resources such as power generation capacity, transmission infrastructure, and energy efficiency measures.</w:t>
      </w:r>
    </w:p>
    <w:p w14:paraId="270B1821"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Cost Reduction:</w:t>
      </w:r>
      <w:r w:rsidRPr="00CF1368">
        <w:rPr>
          <w:rFonts w:ascii="Times New Roman" w:hAnsi="Times New Roman" w:cs="Times New Roman"/>
          <w:bCs/>
          <w:sz w:val="24"/>
          <w:szCs w:val="24"/>
        </w:rPr>
        <w:t xml:space="preserve"> By optimizing resource allocation and promoting energy efficiency measures, electricity consumption analysis can lead to cost savings for both consumers and utilities, reducing electricity bills and operational expenses.</w:t>
      </w:r>
    </w:p>
    <w:p w14:paraId="525ECE47"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Environmental Sustainability:</w:t>
      </w:r>
      <w:r w:rsidRPr="00CF1368">
        <w:rPr>
          <w:rFonts w:ascii="Times New Roman" w:hAnsi="Times New Roman" w:cs="Times New Roman"/>
          <w:bCs/>
          <w:sz w:val="24"/>
          <w:szCs w:val="24"/>
        </w:rPr>
        <w:t xml:space="preserve"> Identifying opportunities for reducing electricity consumption through efficiency improvements and renewable energy adoption contributes to environmental sustainability by lowering greenhouse gas emissions and mitigating climate change impacts.</w:t>
      </w:r>
    </w:p>
    <w:p w14:paraId="4C1D3B62"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Infrastructure Planning:</w:t>
      </w:r>
      <w:r w:rsidRPr="00CF1368">
        <w:rPr>
          <w:rFonts w:ascii="Times New Roman" w:hAnsi="Times New Roman" w:cs="Times New Roman"/>
          <w:bCs/>
          <w:sz w:val="24"/>
          <w:szCs w:val="24"/>
        </w:rPr>
        <w:t xml:space="preserve"> Understanding consumption trends and patterns facilitates long-term infrastructure planning, including the expansion and upgrade of electricity generation, transmission, and distribution systems to meet growing demand and ensure reliability.</w:t>
      </w:r>
    </w:p>
    <w:p w14:paraId="6A217440"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Risk Management:</w:t>
      </w:r>
      <w:r w:rsidRPr="00CF1368">
        <w:rPr>
          <w:rFonts w:ascii="Times New Roman" w:hAnsi="Times New Roman" w:cs="Times New Roman"/>
          <w:bCs/>
          <w:sz w:val="24"/>
          <w:szCs w:val="24"/>
        </w:rPr>
        <w:t xml:space="preserve"> Electricity consumption analysis helps identify vulnerabilities and risks associated with energy supply and demand, allowing for the development of strategies to mitigate potential disruptions and ensure energy security.</w:t>
      </w:r>
    </w:p>
    <w:p w14:paraId="5DE4B6FC"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Promoting Energy Conservation:</w:t>
      </w:r>
      <w:r w:rsidRPr="00CF1368">
        <w:rPr>
          <w:rFonts w:ascii="Times New Roman" w:hAnsi="Times New Roman" w:cs="Times New Roman"/>
          <w:bCs/>
          <w:sz w:val="24"/>
          <w:szCs w:val="24"/>
        </w:rPr>
        <w:t xml:space="preserve"> By raising awareness about consumption patterns and promoting energy conservation practices among consumers, businesses, and industries, electricity consumption analysis can foster a culture of responsible energy use and sustainability.</w:t>
      </w:r>
    </w:p>
    <w:p w14:paraId="6107A53C" w14:textId="77777777" w:rsidR="00661801" w:rsidRPr="00CF1368" w:rsidRDefault="00661801" w:rsidP="00661801">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 xml:space="preserve">Supporting Economic Development: </w:t>
      </w:r>
      <w:r w:rsidRPr="00CF1368">
        <w:rPr>
          <w:rFonts w:ascii="Times New Roman" w:hAnsi="Times New Roman" w:cs="Times New Roman"/>
          <w:bCs/>
          <w:sz w:val="24"/>
          <w:szCs w:val="24"/>
        </w:rPr>
        <w:t>Reliable and affordable electricity supply is essential for economic growth and development. By optimizing electricity consumption and ensuring reliable energy access, analysis efforts support economic activities, job creation, and overall prosperity.</w:t>
      </w:r>
    </w:p>
    <w:p w14:paraId="1E8AE9FE" w14:textId="77777777" w:rsidR="00661801" w:rsidRPr="00CF1368" w:rsidRDefault="00661801" w:rsidP="00661801">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Policy Evaluation:</w:t>
      </w:r>
      <w:r w:rsidRPr="00CF1368">
        <w:rPr>
          <w:rFonts w:ascii="Times New Roman" w:hAnsi="Times New Roman" w:cs="Times New Roman"/>
          <w:bCs/>
          <w:sz w:val="24"/>
          <w:szCs w:val="24"/>
        </w:rPr>
        <w:t xml:space="preserve"> Evaluating the effectiveness of existing energy policies and programs through consumption analysis helps policymakers assess their impact, identify areas for improvement, and design evidence-based policy interventions to achieve energy-related goals.</w:t>
      </w:r>
    </w:p>
    <w:p w14:paraId="75809237" w14:textId="68E9B9A8" w:rsidR="00661801" w:rsidRPr="00CF1368" w:rsidRDefault="00661801" w:rsidP="00661801">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lastRenderedPageBreak/>
        <w:t>Data-Driven Innovation:</w:t>
      </w:r>
      <w:r w:rsidRPr="00CF1368">
        <w:rPr>
          <w:rFonts w:ascii="Times New Roman" w:hAnsi="Times New Roman" w:cs="Times New Roman"/>
          <w:bCs/>
          <w:sz w:val="24"/>
          <w:szCs w:val="24"/>
        </w:rPr>
        <w:t xml:space="preserve"> Leveraging consumption data and advanced analytics techniques opens up opportunities for innovation in energy management, grid optimization, demand-side management, and the integration of renewable energy sources, driving progress towards a more sustainable and resilient energy future.</w:t>
      </w:r>
    </w:p>
    <w:p w14:paraId="004DCA46" w14:textId="13C4FCB3" w:rsidR="00590954" w:rsidRPr="00E9057A"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E9057A">
        <w:rPr>
          <w:rFonts w:ascii="Times New Roman" w:hAnsi="Times New Roman" w:cs="Times New Roman"/>
          <w:b/>
          <w:bCs/>
          <w:sz w:val="32"/>
          <w:szCs w:val="32"/>
        </w:rPr>
        <w:t>Scope</w:t>
      </w:r>
    </w:p>
    <w:p w14:paraId="1B3B0B87"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Historical Analysis:</w:t>
      </w:r>
      <w:r w:rsidRPr="000F3B03">
        <w:rPr>
          <w:rFonts w:ascii="Times New Roman" w:hAnsi="Times New Roman" w:cs="Times New Roman"/>
          <w:bCs/>
          <w:sz w:val="24"/>
          <w:szCs w:val="24"/>
        </w:rPr>
        <w:t xml:space="preserve"> Reviewing historical electricity consumption data to understand past trends, seasonal variations, and growth patterns.</w:t>
      </w:r>
    </w:p>
    <w:p w14:paraId="094A1D72"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Geographic Scope:</w:t>
      </w:r>
      <w:r w:rsidRPr="000F3B03">
        <w:rPr>
          <w:rFonts w:ascii="Times New Roman" w:hAnsi="Times New Roman" w:cs="Times New Roman"/>
          <w:bCs/>
          <w:sz w:val="24"/>
          <w:szCs w:val="24"/>
        </w:rPr>
        <w:t xml:space="preserve"> Analyzing consumption patterns at various geographic levels, including state-wide, regional, district-wise, and urban versus rural areas.</w:t>
      </w:r>
    </w:p>
    <w:p w14:paraId="06E88264"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Demographic Factors:</w:t>
      </w:r>
      <w:r w:rsidRPr="000F3B03">
        <w:rPr>
          <w:rFonts w:ascii="Times New Roman" w:hAnsi="Times New Roman" w:cs="Times New Roman"/>
          <w:bCs/>
          <w:sz w:val="24"/>
          <w:szCs w:val="24"/>
        </w:rPr>
        <w:t xml:space="preserve"> Examining the influence of demographic variables such as population density, urbanization rate, income levels, and household size on electricity consumption.</w:t>
      </w:r>
    </w:p>
    <w:p w14:paraId="23351014"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Economic Indicators:</w:t>
      </w:r>
      <w:r w:rsidRPr="000F3B03">
        <w:rPr>
          <w:rFonts w:ascii="Times New Roman" w:hAnsi="Times New Roman" w:cs="Times New Roman"/>
          <w:bCs/>
          <w:sz w:val="24"/>
          <w:szCs w:val="24"/>
        </w:rPr>
        <w:t xml:space="preserve"> Investigating the relationship between economic indicators like GDP per capita, industrial output, and consumer spending with electricity demand.</w:t>
      </w:r>
    </w:p>
    <w:p w14:paraId="087FE525"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Seasonal Variations:</w:t>
      </w:r>
      <w:r w:rsidRPr="000F3B03">
        <w:rPr>
          <w:rFonts w:ascii="Times New Roman" w:hAnsi="Times New Roman" w:cs="Times New Roman"/>
          <w:bCs/>
          <w:sz w:val="24"/>
          <w:szCs w:val="24"/>
        </w:rPr>
        <w:t xml:space="preserve"> Studying seasonal variations in consumption due to factors like weather conditions, holidays, festivals, and agricultural cycles.</w:t>
      </w:r>
    </w:p>
    <w:p w14:paraId="1838AACA"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Time-of-Use Analysis:</w:t>
      </w:r>
      <w:r w:rsidRPr="000F3B03">
        <w:rPr>
          <w:rFonts w:ascii="Times New Roman" w:hAnsi="Times New Roman" w:cs="Times New Roman"/>
          <w:bCs/>
          <w:sz w:val="24"/>
          <w:szCs w:val="24"/>
        </w:rPr>
        <w:t xml:space="preserve"> Analyzing consumption patterns throughout the day and week to identify peak demand periods and opportunities for demand-side management.</w:t>
      </w:r>
    </w:p>
    <w:p w14:paraId="0BF24C14"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Infrastructure Assessment:</w:t>
      </w:r>
      <w:r w:rsidRPr="000F3B03">
        <w:rPr>
          <w:rFonts w:ascii="Times New Roman" w:hAnsi="Times New Roman" w:cs="Times New Roman"/>
          <w:bCs/>
          <w:sz w:val="24"/>
          <w:szCs w:val="24"/>
        </w:rPr>
        <w:t xml:space="preserve"> Assessing the state of electricity infrastructure, including generation capacity, transmission lines, substations, and distribution networks.</w:t>
      </w:r>
    </w:p>
    <w:p w14:paraId="3C325A3B"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Policy and Regulatory Analysis:</w:t>
      </w:r>
      <w:r w:rsidRPr="000F3B03">
        <w:rPr>
          <w:rFonts w:ascii="Times New Roman" w:hAnsi="Times New Roman" w:cs="Times New Roman"/>
          <w:bCs/>
          <w:sz w:val="24"/>
          <w:szCs w:val="24"/>
        </w:rPr>
        <w:t xml:space="preserve"> Evaluating existing energy policies, regulations, incentives, and initiatives to understand their impact on consumption behavior and identify opportunities for improvement.</w:t>
      </w:r>
    </w:p>
    <w:p w14:paraId="3E05DF73"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Technological Trends:</w:t>
      </w:r>
      <w:r w:rsidRPr="000F3B03">
        <w:rPr>
          <w:rFonts w:ascii="Times New Roman" w:hAnsi="Times New Roman" w:cs="Times New Roman"/>
          <w:bCs/>
          <w:sz w:val="24"/>
          <w:szCs w:val="24"/>
        </w:rPr>
        <w:t xml:space="preserve"> Investigating the adoption of energy-efficient technologies, renewable energy sources, smart meters, and IoT devices, and their impact on electricity consumption.</w:t>
      </w:r>
    </w:p>
    <w:p w14:paraId="55B433F7"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lastRenderedPageBreak/>
        <w:t>Consumer Behavior:</w:t>
      </w:r>
      <w:r w:rsidRPr="000F3B03">
        <w:rPr>
          <w:rFonts w:ascii="Times New Roman" w:hAnsi="Times New Roman" w:cs="Times New Roman"/>
          <w:bCs/>
          <w:sz w:val="24"/>
          <w:szCs w:val="24"/>
        </w:rPr>
        <w:t xml:space="preserve"> Studying consumer behavior, preferences, awareness levels, and attitudes towards energy conservation and sustainability practices.</w:t>
      </w:r>
    </w:p>
    <w:p w14:paraId="468CC28E"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Comparative Analysis:</w:t>
      </w:r>
      <w:r w:rsidRPr="000F3B03">
        <w:rPr>
          <w:rFonts w:ascii="Times New Roman" w:hAnsi="Times New Roman" w:cs="Times New Roman"/>
          <w:bCs/>
          <w:sz w:val="24"/>
          <w:szCs w:val="24"/>
        </w:rPr>
        <w:t xml:space="preserve"> Comparing consumption patterns across different regions, demographic groups, or time periods to identify disparities and opportunities for intervention.</w:t>
      </w:r>
    </w:p>
    <w:p w14:paraId="1646E957"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Forecasting and Prediction:</w:t>
      </w:r>
      <w:r w:rsidRPr="000F3B03">
        <w:rPr>
          <w:rFonts w:ascii="Times New Roman" w:hAnsi="Times New Roman" w:cs="Times New Roman"/>
          <w:bCs/>
          <w:sz w:val="24"/>
          <w:szCs w:val="24"/>
        </w:rPr>
        <w:t xml:space="preserve"> Developing models to forecast future electricity consumption based on historical data, demographic trends, and economic projections.</w:t>
      </w:r>
    </w:p>
    <w:p w14:paraId="7593C101"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Energy Efficiency Measures:</w:t>
      </w:r>
      <w:r w:rsidRPr="000F3B03">
        <w:rPr>
          <w:rFonts w:ascii="Times New Roman" w:hAnsi="Times New Roman" w:cs="Times New Roman"/>
          <w:bCs/>
          <w:sz w:val="24"/>
          <w:szCs w:val="24"/>
        </w:rPr>
        <w:t xml:space="preserve"> Identifying opportunities for energy efficiency improvements, demand-side management programs, and renewable energy integration to optimize consumption and reduce environmental impact.</w:t>
      </w:r>
    </w:p>
    <w:p w14:paraId="44E807A2"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Socioeconomic Implications:</w:t>
      </w:r>
      <w:r w:rsidRPr="000F3B03">
        <w:rPr>
          <w:rFonts w:ascii="Times New Roman" w:hAnsi="Times New Roman" w:cs="Times New Roman"/>
          <w:bCs/>
          <w:sz w:val="24"/>
          <w:szCs w:val="24"/>
        </w:rPr>
        <w:t xml:space="preserve"> Assessing the socioeconomic implications of electricity consumption, including its impact on household budgets, business operations, and overall quality of life.</w:t>
      </w:r>
    </w:p>
    <w:p w14:paraId="1C29868D"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Stakeholder Engagement:</w:t>
      </w:r>
      <w:r w:rsidRPr="000F3B03">
        <w:rPr>
          <w:rFonts w:ascii="Times New Roman" w:hAnsi="Times New Roman" w:cs="Times New Roman"/>
          <w:bCs/>
          <w:sz w:val="24"/>
          <w:szCs w:val="24"/>
        </w:rPr>
        <w:t xml:space="preserve"> Engaging with key stakeholders such as government agencies, utilities, industry associations, and consumer groups to gather insights, validate findings, and garner support for proposed solutions.</w:t>
      </w:r>
    </w:p>
    <w:p w14:paraId="3C6EA7CF"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Monitoring and Evaluation:</w:t>
      </w:r>
      <w:r w:rsidRPr="000F3B03">
        <w:rPr>
          <w:rFonts w:ascii="Times New Roman" w:hAnsi="Times New Roman" w:cs="Times New Roman"/>
          <w:bCs/>
          <w:sz w:val="24"/>
          <w:szCs w:val="24"/>
        </w:rPr>
        <w:t xml:space="preserve"> Establishing mechanisms for ongoing monitoring and evaluation to track progress, measure the effectiveness of interventions, and make adjustments as needed.</w:t>
      </w:r>
    </w:p>
    <w:p w14:paraId="6D072C0D" w14:textId="3A1F235F" w:rsidR="00590954"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4"/>
          <w:szCs w:val="24"/>
        </w:rPr>
        <w:t>By addressing these aspects within the scope of the analysis, a comprehensive understanding of electricity consumption in an Indian state can be achieved, leading to more effective policies, strategies, and investments in the energy sector.</w:t>
      </w: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E001B2F" w14:textId="77777777" w:rsidR="00057C13" w:rsidRDefault="00057C1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51FB869" w14:textId="77777777" w:rsidR="00057C13" w:rsidRDefault="00057C1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0456690C"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Azure Machine Learning or AWS SageMaker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PowerBI</w:t>
      </w:r>
      <w:r w:rsidRPr="5EB6A449">
        <w:rPr>
          <w:rFonts w:ascii="Roboto" w:eastAsia="Roboto" w:hAnsi="Roboto" w:cs="Roboto"/>
          <w:color w:val="111111"/>
          <w:sz w:val="24"/>
          <w:szCs w:val="24"/>
        </w:rPr>
        <w:t>: The main tool for this project is PowerBI,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PowerBI Desktop</w:t>
      </w:r>
      <w:r w:rsidRPr="5EB6A449">
        <w:rPr>
          <w:rFonts w:ascii="Roboto" w:eastAsia="Roboto" w:hAnsi="Roboto" w:cs="Roboto"/>
          <w:color w:val="111111"/>
          <w:sz w:val="24"/>
          <w:szCs w:val="24"/>
        </w:rPr>
        <w:t>: This is a Windows application that you can use to create reports and publish them to PowerBI.</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PowerBI Service</w:t>
      </w:r>
      <w:r w:rsidRPr="5EB6A449">
        <w:rPr>
          <w:rFonts w:ascii="Roboto" w:eastAsia="Roboto" w:hAnsi="Roboto" w:cs="Roboto"/>
          <w:color w:val="111111"/>
          <w:sz w:val="24"/>
          <w:szCs w:val="24"/>
        </w:rPr>
        <w:t>: This is an online SaaS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PowerBI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6"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7"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8"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9"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30"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Predictive models are built based on processed data using Azure Machine Learning or AWS SageMaker.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The processed data and the results from the predictive models are visualized in real-time using PowerBI. PowerBI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Data Access</w:t>
      </w:r>
      <w:r w:rsidRPr="5EB6A449">
        <w:rPr>
          <w:rFonts w:ascii="Roboto" w:eastAsia="Roboto" w:hAnsi="Roboto" w:cs="Roboto"/>
          <w:color w:val="111111"/>
          <w:sz w:val="24"/>
          <w:szCs w:val="24"/>
        </w:rPr>
        <w:t>: The dashboards created in PowerBI can be accessed through PowerBI Desktop, PowerBI Service (online), and PowerBI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2B5E96EB" w:rsidR="00590954" w:rsidRDefault="00590954"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0E94B95D" w14:textId="4E952735" w:rsidR="000308AC" w:rsidRDefault="00070C5D"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noProof/>
        </w:rPr>
        <w:drawing>
          <wp:inline distT="0" distB="0" distL="0" distR="0" wp14:anchorId="3B781461" wp14:editId="69E66237">
            <wp:extent cx="5822950" cy="3273425"/>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2950" cy="3273425"/>
                    </a:xfrm>
                    <a:prstGeom prst="rect">
                      <a:avLst/>
                    </a:prstGeom>
                    <a:noFill/>
                  </pic:spPr>
                </pic:pic>
              </a:graphicData>
            </a:graphic>
          </wp:inline>
        </w:drawing>
      </w:r>
    </w:p>
    <w:p w14:paraId="3BABA1BE" w14:textId="77777777" w:rsidR="000308AC" w:rsidRPr="000308AC" w:rsidRDefault="000308AC" w:rsidP="000308AC">
      <w:pPr>
        <w:rPr>
          <w:rFonts w:ascii="Arial" w:eastAsia="Arial" w:hAnsi="Arial" w:cs="Arial"/>
          <w:sz w:val="24"/>
          <w:szCs w:val="24"/>
        </w:rPr>
      </w:pPr>
    </w:p>
    <w:p w14:paraId="480CB933" w14:textId="77777777" w:rsidR="000308AC" w:rsidRPr="000308AC" w:rsidRDefault="000308AC" w:rsidP="000308AC">
      <w:pPr>
        <w:rPr>
          <w:rFonts w:ascii="Arial" w:eastAsia="Arial" w:hAnsi="Arial" w:cs="Arial"/>
          <w:sz w:val="24"/>
          <w:szCs w:val="24"/>
        </w:rPr>
      </w:pPr>
    </w:p>
    <w:p w14:paraId="7C7F100A" w14:textId="77777777" w:rsidR="000308AC" w:rsidRPr="000308AC" w:rsidRDefault="000308AC" w:rsidP="000308AC">
      <w:pPr>
        <w:rPr>
          <w:rFonts w:ascii="Arial" w:eastAsia="Arial" w:hAnsi="Arial" w:cs="Arial"/>
          <w:sz w:val="24"/>
          <w:szCs w:val="24"/>
        </w:rPr>
      </w:pPr>
    </w:p>
    <w:p w14:paraId="118BBCC6" w14:textId="77777777" w:rsidR="000308AC" w:rsidRPr="000308AC" w:rsidRDefault="000308AC" w:rsidP="000308AC">
      <w:pPr>
        <w:rPr>
          <w:rFonts w:ascii="Arial" w:eastAsia="Arial" w:hAnsi="Arial" w:cs="Arial"/>
          <w:sz w:val="24"/>
          <w:szCs w:val="24"/>
        </w:rPr>
      </w:pPr>
    </w:p>
    <w:p w14:paraId="77ECA8A6" w14:textId="77777777" w:rsidR="000308AC" w:rsidRPr="000308AC" w:rsidRDefault="000308AC" w:rsidP="000308AC">
      <w:pPr>
        <w:rPr>
          <w:rFonts w:ascii="Arial" w:eastAsia="Arial" w:hAnsi="Arial" w:cs="Arial"/>
          <w:sz w:val="24"/>
          <w:szCs w:val="24"/>
        </w:rPr>
      </w:pPr>
    </w:p>
    <w:p w14:paraId="4EE9812F" w14:textId="77777777" w:rsidR="000308AC" w:rsidRPr="000308AC" w:rsidRDefault="000308AC" w:rsidP="000308AC">
      <w:pPr>
        <w:rPr>
          <w:rFonts w:ascii="Arial" w:eastAsia="Arial" w:hAnsi="Arial" w:cs="Arial"/>
          <w:sz w:val="24"/>
          <w:szCs w:val="24"/>
        </w:rPr>
      </w:pPr>
    </w:p>
    <w:p w14:paraId="7EF192DF" w14:textId="77777777" w:rsidR="000308AC" w:rsidRPr="000308AC" w:rsidRDefault="000308AC" w:rsidP="000308AC">
      <w:pPr>
        <w:rPr>
          <w:rFonts w:ascii="Arial" w:eastAsia="Arial" w:hAnsi="Arial" w:cs="Arial"/>
          <w:sz w:val="24"/>
          <w:szCs w:val="24"/>
        </w:rPr>
      </w:pPr>
    </w:p>
    <w:p w14:paraId="4B0E0527" w14:textId="149C82DB" w:rsidR="000308AC" w:rsidRDefault="000308AC" w:rsidP="000308AC">
      <w:pPr>
        <w:rPr>
          <w:rFonts w:ascii="Arial" w:eastAsia="Arial" w:hAnsi="Arial" w:cs="Arial"/>
          <w:sz w:val="24"/>
          <w:szCs w:val="24"/>
        </w:rPr>
      </w:pPr>
    </w:p>
    <w:p w14:paraId="6FAAEC77" w14:textId="77777777" w:rsidR="000308AC" w:rsidRDefault="000308AC" w:rsidP="000308AC">
      <w:pPr>
        <w:rPr>
          <w:rFonts w:ascii="Arial" w:eastAsia="Arial" w:hAnsi="Arial" w:cs="Arial"/>
          <w:sz w:val="32"/>
          <w:szCs w:val="24"/>
        </w:rPr>
      </w:pPr>
    </w:p>
    <w:p w14:paraId="0B3E8F0A" w14:textId="77777777" w:rsidR="000308AC" w:rsidRDefault="000308AC" w:rsidP="000308AC">
      <w:pPr>
        <w:rPr>
          <w:rFonts w:ascii="Arial" w:eastAsia="Arial" w:hAnsi="Arial" w:cs="Arial"/>
          <w:sz w:val="32"/>
          <w:szCs w:val="24"/>
        </w:rPr>
      </w:pPr>
    </w:p>
    <w:p w14:paraId="7A022535" w14:textId="77777777" w:rsidR="000308AC" w:rsidRDefault="000308AC" w:rsidP="000308AC">
      <w:pPr>
        <w:rPr>
          <w:rFonts w:ascii="Arial" w:eastAsia="Arial" w:hAnsi="Arial" w:cs="Arial"/>
          <w:sz w:val="32"/>
          <w:szCs w:val="24"/>
        </w:rPr>
      </w:pPr>
    </w:p>
    <w:p w14:paraId="5354B930" w14:textId="41C0B6F7" w:rsidR="00070C5D" w:rsidRDefault="000308AC" w:rsidP="000308AC">
      <w:pPr>
        <w:rPr>
          <w:rFonts w:ascii="Times New Roman" w:eastAsia="Arial" w:hAnsi="Times New Roman" w:cs="Times New Roman"/>
          <w:b/>
          <w:sz w:val="32"/>
          <w:szCs w:val="24"/>
        </w:rPr>
      </w:pPr>
      <w:r w:rsidRPr="000308AC">
        <w:rPr>
          <w:rFonts w:ascii="Times New Roman" w:eastAsia="Arial" w:hAnsi="Times New Roman" w:cs="Times New Roman"/>
          <w:b/>
          <w:sz w:val="32"/>
          <w:szCs w:val="24"/>
        </w:rPr>
        <w:t>Edit Relationship</w:t>
      </w:r>
    </w:p>
    <w:p w14:paraId="38B555F4" w14:textId="77777777" w:rsidR="000308AC" w:rsidRPr="000308AC" w:rsidRDefault="000308AC" w:rsidP="000308AC">
      <w:pPr>
        <w:rPr>
          <w:rFonts w:ascii="Times New Roman" w:eastAsia="Arial" w:hAnsi="Times New Roman" w:cs="Times New Roman"/>
          <w:b/>
          <w:sz w:val="32"/>
          <w:szCs w:val="24"/>
        </w:rPr>
      </w:pPr>
    </w:p>
    <w:p w14:paraId="5F96A722" w14:textId="7A97D02A" w:rsidR="00590954" w:rsidRDefault="00556B2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556B28">
        <w:rPr>
          <w:noProof/>
        </w:rPr>
        <w:drawing>
          <wp:inline distT="0" distB="0" distL="0" distR="0" wp14:anchorId="54E1C2A4" wp14:editId="1DB0C523">
            <wp:extent cx="5822950" cy="3273543"/>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22950" cy="3273543"/>
                    </a:xfrm>
                    <a:prstGeom prst="rect">
                      <a:avLst/>
                    </a:prstGeom>
                  </pic:spPr>
                </pic:pic>
              </a:graphicData>
            </a:graphic>
          </wp:inline>
        </w:drawing>
      </w:r>
      <w:r w:rsidRPr="00E53A32">
        <w:rPr>
          <w:noProof/>
        </w:rPr>
        <w:drawing>
          <wp:inline distT="0" distB="0" distL="0" distR="0" wp14:anchorId="02C9B9D0" wp14:editId="0FEA067B">
            <wp:extent cx="5822950" cy="3273543"/>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22950" cy="3273543"/>
                    </a:xfrm>
                    <a:prstGeom prst="rect">
                      <a:avLst/>
                    </a:prstGeom>
                  </pic:spPr>
                </pic:pic>
              </a:graphicData>
            </a:graphic>
          </wp:inline>
        </w:drawing>
      </w:r>
    </w:p>
    <w:p w14:paraId="110C554F" w14:textId="7DE963AB"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0F2B644C"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7DD528B" w14:textId="77777777" w:rsidR="000308AC" w:rsidRDefault="000308A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A5F70E1" w14:textId="33936093"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79BF26E8" w14:textId="7256C388" w:rsidR="00A95A1C" w:rsidRPr="00A95A1C" w:rsidRDefault="00A95A1C" w:rsidP="00A95A1C">
      <w:pPr>
        <w:tabs>
          <w:tab w:val="left" w:pos="720"/>
          <w:tab w:val="left" w:pos="1440"/>
          <w:tab w:val="left" w:pos="2160"/>
          <w:tab w:val="left" w:pos="2880"/>
          <w:tab w:val="left" w:pos="4635"/>
        </w:tabs>
        <w:spacing w:line="360" w:lineRule="auto"/>
        <w:jc w:val="center"/>
        <w:rPr>
          <w:b/>
          <w:outline/>
          <w:noProof/>
          <w:color w:val="C0504D"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noProof/>
        </w:rPr>
        <mc:AlternateContent>
          <mc:Choice Requires="wps">
            <w:drawing>
              <wp:anchor distT="0" distB="0" distL="114300" distR="114300" simplePos="0" relativeHeight="251669504" behindDoc="0" locked="0" layoutInCell="1" allowOverlap="1" wp14:anchorId="018DA926" wp14:editId="4594644D">
                <wp:simplePos x="0" y="0"/>
                <wp:positionH relativeFrom="column">
                  <wp:posOffset>546735</wp:posOffset>
                </wp:positionH>
                <wp:positionV relativeFrom="paragraph">
                  <wp:posOffset>381000</wp:posOffset>
                </wp:positionV>
                <wp:extent cx="4752340" cy="1391285"/>
                <wp:effectExtent l="0" t="0" r="0" b="0"/>
                <wp:wrapNone/>
                <wp:docPr id="2" name="Text Box 2"/>
                <wp:cNvGraphicFramePr/>
                <a:graphic xmlns:a="http://schemas.openxmlformats.org/drawingml/2006/main">
                  <a:graphicData uri="http://schemas.microsoft.com/office/word/2010/wordprocessingShape">
                    <wps:wsp>
                      <wps:cNvSpPr txBox="1"/>
                      <wps:spPr>
                        <a:xfrm>
                          <a:off x="0" y="0"/>
                          <a:ext cx="4752340" cy="1391285"/>
                        </a:xfrm>
                        <a:prstGeom prst="rect">
                          <a:avLst/>
                        </a:prstGeom>
                        <a:noFill/>
                        <a:ln>
                          <a:noFill/>
                        </a:ln>
                        <a:effectLst/>
                      </wps:spPr>
                      <wps:txbx>
                        <w:txbxContent>
                          <w:p w14:paraId="3477D4D3" w14:textId="7BA936E9" w:rsidR="00A95A1C" w:rsidRPr="00A95A1C" w:rsidRDefault="00A95A1C" w:rsidP="00A95A1C">
                            <w:pPr>
                              <w:tabs>
                                <w:tab w:val="left" w:pos="720"/>
                                <w:tab w:val="left" w:pos="1440"/>
                                <w:tab w:val="left" w:pos="2160"/>
                                <w:tab w:val="left" w:pos="2880"/>
                                <w:tab w:val="left" w:pos="4635"/>
                              </w:tabs>
                              <w:spacing w:line="360" w:lineRule="auto"/>
                              <w:jc w:val="center"/>
                              <w:rPr>
                                <w:b/>
                                <w:noProof/>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A95A1C">
                              <w:rPr>
                                <w:b/>
                                <w:noProof/>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ANALYSIS OF COMMERCIAL ELECTRICITY CONSUMPTION</w:t>
                            </w:r>
                          </w:p>
                          <w:p w14:paraId="3AFEF0AE" w14:textId="77777777" w:rsidR="00A95A1C" w:rsidRDefault="00A95A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left:0;text-align:left;margin-left:43.05pt;margin-top:30pt;width:374.2pt;height:10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" filled="f" stroked="f">
                <v:textbox>
                  <w:txbxContent>
                    <w:p w14:paraId="3477D4D3" w14:textId="7BA936E9" w:rsidR="00A95A1C" w:rsidRPr="00A95A1C" w:rsidRDefault="00A95A1C" w:rsidP="00A95A1C">
                      <w:pPr>
                        <w:tabs>
                          <w:tab w:val="left" w:pos="720"/>
                          <w:tab w:val="left" w:pos="1440"/>
                          <w:tab w:val="left" w:pos="2160"/>
                          <w:tab w:val="left" w:pos="2880"/>
                          <w:tab w:val="left" w:pos="4635"/>
                        </w:tabs>
                        <w:spacing w:line="360" w:lineRule="auto"/>
                        <w:jc w:val="center"/>
                        <w:rPr>
                          <w:b/>
                          <w:noProof/>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A95A1C">
                        <w:rPr>
                          <w:b/>
                          <w:noProof/>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ANALYSIS OF COMMERCIAL ELECTRICITY CONSUMPTION</w:t>
                      </w:r>
                    </w:p>
                    <w:p w14:paraId="3AFEF0AE" w14:textId="77777777" w:rsidR="00A95A1C" w:rsidRDefault="00A95A1C"/>
                  </w:txbxContent>
                </v:textbox>
              </v:shape>
            </w:pict>
          </mc:Fallback>
        </mc:AlternateContent>
      </w:r>
      <w:r>
        <w:rPr>
          <w:noProof/>
        </w:rPr>
        <w:drawing>
          <wp:inline distT="0" distB="0" distL="0" distR="0" wp14:anchorId="7BDCDF45" wp14:editId="16A17C22">
            <wp:extent cx="4886325" cy="2781300"/>
            <wp:effectExtent l="0" t="0" r="9525" b="0"/>
            <wp:docPr id="3" name="Picture 3" descr="C:\Users\hp\AppData\Local\Microsoft\Windows\INetCache\Content.Word\cyber_te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AppData\Local\Microsoft\Windows\INetCache\Content.Word\cyber_teas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6325" cy="2781300"/>
                    </a:xfrm>
                    <a:prstGeom prst="rect">
                      <a:avLst/>
                    </a:prstGeom>
                    <a:noFill/>
                    <a:ln>
                      <a:noFill/>
                    </a:ln>
                  </pic:spPr>
                </pic:pic>
              </a:graphicData>
            </a:graphic>
          </wp:inline>
        </w:drawing>
      </w:r>
    </w:p>
    <w:p w14:paraId="56436586" w14:textId="28617B9F" w:rsidR="0B246B08" w:rsidRDefault="000A3808" w:rsidP="5EB6A449">
      <w:pPr>
        <w:tabs>
          <w:tab w:val="left" w:pos="720"/>
          <w:tab w:val="left" w:pos="1440"/>
          <w:tab w:val="left" w:pos="2160"/>
          <w:tab w:val="left" w:pos="2880"/>
          <w:tab w:val="left" w:pos="4635"/>
        </w:tabs>
        <w:spacing w:line="360" w:lineRule="auto"/>
        <w:jc w:val="center"/>
        <w:rPr>
          <w:rFonts w:cs="Calibri"/>
          <w:sz w:val="24"/>
          <w:szCs w:val="24"/>
        </w:rPr>
      </w:pPr>
      <w:r w:rsidRPr="00157424">
        <w:rPr>
          <w:noProof/>
        </w:rPr>
        <w:lastRenderedPageBreak/>
        <w:drawing>
          <wp:inline distT="0" distB="0" distL="0" distR="0" wp14:anchorId="3ED04B25" wp14:editId="57DF8FC0">
            <wp:extent cx="5822950" cy="329593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822950" cy="3295939"/>
                    </a:xfrm>
                    <a:prstGeom prst="rect">
                      <a:avLst/>
                    </a:prstGeom>
                  </pic:spPr>
                </pic:pic>
              </a:graphicData>
            </a:graphic>
          </wp:inline>
        </w:drawing>
      </w:r>
      <w:r w:rsidR="00A95A1C">
        <w:rPr>
          <w:noProof/>
        </w:rPr>
        <mc:AlternateContent>
          <mc:Choice Requires="wps">
            <w:drawing>
              <wp:anchor distT="0" distB="0" distL="114300" distR="114300" simplePos="0" relativeHeight="251667456" behindDoc="0" locked="0" layoutInCell="1" allowOverlap="1" wp14:anchorId="7686D5BC" wp14:editId="792E77A6">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06B100FC" w14:textId="77777777" w:rsidR="00A95A1C" w:rsidRDefault="00A95A1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 o:spid="_x0000_s1030" type="#_x0000_t202" style="position:absolute;left:0;text-align:left;margin-left:0;margin-top:0;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M9SJg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" filled="f" stroked="f">
                <v:textbox style="mso-fit-shape-to-text:t">
                  <w:txbxContent>
                    <w:p w14:paraId="06B100FC" w14:textId="77777777" w:rsidR="00A95A1C" w:rsidRDefault="00A95A1C"/>
                  </w:txbxContent>
                </v:textbox>
              </v:shape>
            </w:pict>
          </mc:Fallback>
        </mc:AlternateContent>
      </w:r>
    </w:p>
    <w:p w14:paraId="129576A1" w14:textId="4DEB2143"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351AD87E" w14:textId="15CBA148"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0FF398D3" w14:textId="77777777" w:rsidR="00093E20" w:rsidRDefault="00093E20" w:rsidP="00093E20">
      <w:pPr>
        <w:tabs>
          <w:tab w:val="left" w:pos="720"/>
          <w:tab w:val="left" w:pos="1440"/>
          <w:tab w:val="left" w:pos="2160"/>
          <w:tab w:val="left" w:pos="2880"/>
          <w:tab w:val="left" w:pos="4635"/>
        </w:tabs>
        <w:spacing w:line="360" w:lineRule="auto"/>
        <w:rPr>
          <w:sz w:val="24"/>
          <w:szCs w:val="24"/>
        </w:rPr>
      </w:pPr>
    </w:p>
    <w:p w14:paraId="369A9344" w14:textId="77777777" w:rsidR="000A3808" w:rsidRDefault="00A95A1C" w:rsidP="000A3808">
      <w:pPr>
        <w:tabs>
          <w:tab w:val="left" w:pos="720"/>
          <w:tab w:val="left" w:pos="1440"/>
          <w:tab w:val="left" w:pos="2160"/>
          <w:tab w:val="left" w:pos="2880"/>
          <w:tab w:val="left" w:pos="4635"/>
        </w:tabs>
        <w:spacing w:line="360" w:lineRule="auto"/>
        <w:jc w:val="center"/>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C7F0A">
        <w:rPr>
          <w:noProof/>
        </w:rPr>
        <w:drawing>
          <wp:inline distT="0" distB="0" distL="0" distR="0" wp14:anchorId="39C5E4FB" wp14:editId="77EE5702">
            <wp:extent cx="5822950" cy="3269810"/>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22950" cy="3269810"/>
                    </a:xfrm>
                    <a:prstGeom prst="rect">
                      <a:avLst/>
                    </a:prstGeom>
                  </pic:spPr>
                </pic:pic>
              </a:graphicData>
            </a:graphic>
          </wp:inline>
        </w:drawing>
      </w:r>
    </w:p>
    <w:p w14:paraId="058DD974" w14:textId="77777777" w:rsidR="000A3808" w:rsidRDefault="000A3808" w:rsidP="000A3808">
      <w:pPr>
        <w:tabs>
          <w:tab w:val="left" w:pos="720"/>
          <w:tab w:val="left" w:pos="1440"/>
          <w:tab w:val="left" w:pos="2160"/>
          <w:tab w:val="left" w:pos="2880"/>
          <w:tab w:val="left" w:pos="4635"/>
        </w:tabs>
        <w:spacing w:line="360" w:lineRule="auto"/>
        <w:jc w:val="center"/>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0F3A984B" w14:textId="63105B5D" w:rsidR="00093E20" w:rsidRPr="000A3808" w:rsidRDefault="000308AC" w:rsidP="000A3808">
      <w:pPr>
        <w:tabs>
          <w:tab w:val="left" w:pos="720"/>
          <w:tab w:val="left" w:pos="1440"/>
          <w:tab w:val="left" w:pos="2160"/>
          <w:tab w:val="left" w:pos="2880"/>
          <w:tab w:val="left" w:pos="4635"/>
        </w:tabs>
        <w:spacing w:line="360" w:lineRule="auto"/>
        <w:jc w:val="center"/>
        <w:rPr>
          <w:sz w:val="24"/>
          <w:szCs w:val="24"/>
        </w:rPr>
      </w:pPr>
      <w:r w:rsidRPr="000308AC">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SOUTH REGION</w:t>
      </w:r>
    </w:p>
    <w:p w14:paraId="0A4F7224" w14:textId="2304FAC2" w:rsidR="00590954" w:rsidRDefault="00556B28">
      <w:pPr>
        <w:tabs>
          <w:tab w:val="left" w:pos="720"/>
          <w:tab w:val="left" w:pos="1440"/>
          <w:tab w:val="left" w:pos="2160"/>
          <w:tab w:val="left" w:pos="2880"/>
          <w:tab w:val="left" w:pos="4635"/>
        </w:tabs>
        <w:spacing w:line="360" w:lineRule="auto"/>
        <w:jc w:val="center"/>
        <w:rPr>
          <w:sz w:val="24"/>
          <w:szCs w:val="24"/>
        </w:rPr>
      </w:pPr>
      <w:r w:rsidRPr="00556B28">
        <w:rPr>
          <w:noProof/>
          <w:sz w:val="24"/>
          <w:szCs w:val="24"/>
        </w:rPr>
        <w:drawing>
          <wp:inline distT="0" distB="0" distL="0" distR="0" wp14:anchorId="1114A73E" wp14:editId="3A5922CF">
            <wp:extent cx="5822950" cy="3331399"/>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822950" cy="3331399"/>
                    </a:xfrm>
                    <a:prstGeom prst="rect">
                      <a:avLst/>
                    </a:prstGeom>
                  </pic:spPr>
                </pic:pic>
              </a:graphicData>
            </a:graphic>
          </wp:inline>
        </w:drawing>
      </w: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316BD2B4"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DDBE260" w14:textId="77777777" w:rsidR="000A3808" w:rsidRDefault="00B0191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br/>
      </w:r>
    </w:p>
    <w:p w14:paraId="7356E8F4" w14:textId="77777777" w:rsidR="000A3808" w:rsidRDefault="000A3808">
      <w:pPr>
        <w:spacing w:line="360" w:lineRule="auto"/>
        <w:jc w:val="center"/>
        <w:rPr>
          <w:rFonts w:ascii="Times New Roman" w:hAnsi="Times New Roman" w:cs="Times New Roman"/>
          <w:b/>
          <w:bCs/>
          <w:sz w:val="32"/>
          <w:szCs w:val="32"/>
        </w:rPr>
      </w:pPr>
    </w:p>
    <w:p w14:paraId="6833CA61" w14:textId="77777777" w:rsidR="000A3808" w:rsidRDefault="000A3808">
      <w:pPr>
        <w:spacing w:line="360" w:lineRule="auto"/>
        <w:jc w:val="center"/>
        <w:rPr>
          <w:rFonts w:ascii="Times New Roman" w:hAnsi="Times New Roman" w:cs="Times New Roman"/>
          <w:b/>
          <w:bCs/>
          <w:sz w:val="32"/>
          <w:szCs w:val="32"/>
        </w:rPr>
      </w:pPr>
    </w:p>
    <w:p w14:paraId="25E7E141" w14:textId="77777777" w:rsidR="000A3808" w:rsidRDefault="000A3808">
      <w:pPr>
        <w:spacing w:line="360" w:lineRule="auto"/>
        <w:jc w:val="center"/>
        <w:rPr>
          <w:rFonts w:ascii="Times New Roman" w:hAnsi="Times New Roman" w:cs="Times New Roman"/>
          <w:b/>
          <w:bCs/>
          <w:sz w:val="32"/>
          <w:szCs w:val="32"/>
        </w:rPr>
      </w:pPr>
    </w:p>
    <w:p w14:paraId="4BB93150" w14:textId="77777777" w:rsidR="000A3808" w:rsidRDefault="000A3808">
      <w:pPr>
        <w:spacing w:line="360" w:lineRule="auto"/>
        <w:jc w:val="center"/>
        <w:rPr>
          <w:rFonts w:ascii="Times New Roman" w:hAnsi="Times New Roman" w:cs="Times New Roman"/>
          <w:b/>
          <w:bCs/>
          <w:sz w:val="32"/>
          <w:szCs w:val="32"/>
        </w:rPr>
      </w:pPr>
    </w:p>
    <w:p w14:paraId="5982921E" w14:textId="67884F4B"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lastRenderedPageBreak/>
        <w:t>CONCLUSION</w:t>
      </w:r>
    </w:p>
    <w:p w14:paraId="4B4C36E2" w14:textId="77777777" w:rsidR="00B0191D" w:rsidRDefault="00B0191D">
      <w:pPr>
        <w:spacing w:line="360" w:lineRule="auto"/>
        <w:jc w:val="center"/>
        <w:rPr>
          <w:rFonts w:ascii="Times New Roman" w:hAnsi="Times New Roman" w:cs="Times New Roman"/>
          <w:b/>
          <w:bCs/>
          <w:sz w:val="32"/>
          <w:szCs w:val="32"/>
        </w:rPr>
      </w:pPr>
    </w:p>
    <w:p w14:paraId="4443A92E" w14:textId="21188844" w:rsidR="005E3C63" w:rsidRDefault="00B0191D" w:rsidP="00B0191D">
      <w:pPr>
        <w:spacing w:line="360" w:lineRule="auto"/>
        <w:rPr>
          <w:rFonts w:ascii="Times New Roman" w:hAnsi="Times New Roman" w:cs="Times New Roman"/>
          <w:b/>
          <w:bCs/>
          <w:sz w:val="32"/>
          <w:szCs w:val="32"/>
        </w:rPr>
      </w:pPr>
      <w:r w:rsidRPr="00B0191D">
        <w:rPr>
          <w:rFonts w:ascii="Times New Roman" w:hAnsi="Times New Roman" w:cs="Times New Roman"/>
          <w:bCs/>
          <w:sz w:val="24"/>
          <w:szCs w:val="24"/>
        </w:rPr>
        <w:t>In conclusion, analyzing electricity consumption in an Indian state is essential for informed decision-making, resource optimization, and sustainable development. By examining historical data, demographic factors, economic indicators, and technological trends, stakeholders can gain valuable insights into consumption patterns, identify opportunities for efficiency improvements, and mitigate environmental impact. The scope of such analysis encompasses a wide range of factors, including geographic variations, seasonal fluctuations, infrastructure assessment, policy evaluation, and stakeholder engagement. Through collaborative efforts and data-driven strategies, policymakers, utilities, and communities can work together to promote energy conservation, enhance energy security, and support economic growth. By prioritizing electricity consumption analysis, India can pave the way towards a more resilient, sustainable, and equitable energy future.</w:t>
      </w: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751BE93D" w14:textId="77777777" w:rsidR="005E6F3B" w:rsidRDefault="005E6F3B">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00C6F1CE"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t>The future scope of this project is vast. With the advent of advanced analytics and machine learning, PowerBI can be leveraged to predict future trends based on historical data. Integrating these predictive analytics into the project could enable the bank to anticipate customer needs and proactively offer solutions. Furthermore, PowerBI’s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4ACFAF70" w14:textId="77777777" w:rsidR="005E6F3B" w:rsidRDefault="005E6F3B">
      <w:pPr>
        <w:pStyle w:val="BodyText"/>
        <w:spacing w:line="360" w:lineRule="auto"/>
        <w:jc w:val="center"/>
        <w:rPr>
          <w:b/>
          <w:bCs/>
          <w:sz w:val="32"/>
          <w:szCs w:val="32"/>
        </w:rPr>
      </w:pPr>
    </w:p>
    <w:p w14:paraId="1C8A3348" w14:textId="77777777" w:rsidR="005E6F3B" w:rsidRDefault="005E6F3B">
      <w:pPr>
        <w:pStyle w:val="BodyText"/>
        <w:spacing w:line="360" w:lineRule="auto"/>
        <w:jc w:val="center"/>
        <w:rPr>
          <w:b/>
          <w:bCs/>
          <w:sz w:val="32"/>
          <w:szCs w:val="32"/>
        </w:rPr>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624870DE" w14:textId="7329A454" w:rsidR="5EB6A449" w:rsidRDefault="5EB6A449" w:rsidP="00646A43">
      <w:pPr>
        <w:pStyle w:val="BodyText"/>
        <w:spacing w:line="360" w:lineRule="auto"/>
        <w:jc w:val="center"/>
        <w:rPr>
          <w:b/>
          <w:bCs/>
          <w:sz w:val="32"/>
          <w:szCs w:val="32"/>
        </w:rPr>
      </w:pPr>
      <w:bookmarkStart w:id="0" w:name="_GoBack"/>
      <w:bookmarkEnd w:id="0"/>
    </w:p>
    <w:sectPr w:rsidR="5EB6A449" w:rsidSect="005E6F3B">
      <w:footerReference w:type="default" r:id="rId38"/>
      <w:pgSz w:w="11906" w:h="16838" w:code="9"/>
      <w:pgMar w:top="1440" w:right="1296" w:bottom="1440" w:left="1440" w:header="720" w:footer="720" w:gutter="0"/>
      <w:pgBorders w:offsetFrom="page">
        <w:top w:val="apples" w:sz="4" w:space="24" w:color="auto"/>
        <w:left w:val="apples" w:sz="4" w:space="24" w:color="auto"/>
        <w:bottom w:val="apples" w:sz="4" w:space="24" w:color="auto"/>
        <w:right w:val="apples"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178C32" w14:textId="77777777" w:rsidR="005947B5" w:rsidRDefault="005947B5">
      <w:pPr>
        <w:spacing w:after="0" w:line="240" w:lineRule="auto"/>
      </w:pPr>
      <w:r>
        <w:separator/>
      </w:r>
    </w:p>
  </w:endnote>
  <w:endnote w:type="continuationSeparator" w:id="0">
    <w:p w14:paraId="2D4B25AA" w14:textId="77777777" w:rsidR="005947B5" w:rsidRDefault="00594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2447FF" w14:textId="77777777" w:rsidR="00A95A1C" w:rsidRDefault="00A95A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96D8A5" w14:textId="77777777" w:rsidR="00A95A1C" w:rsidRDefault="00A95A1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D1D6C" w14:textId="77777777" w:rsidR="00A95A1C" w:rsidRDefault="00A95A1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646A43">
      <w:rPr>
        <w:noProof/>
      </w:rPr>
      <w:t>16</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064614" w14:textId="77777777" w:rsidR="005947B5" w:rsidRDefault="005947B5">
      <w:pPr>
        <w:spacing w:after="0" w:line="240" w:lineRule="auto"/>
      </w:pPr>
      <w:r>
        <w:separator/>
      </w:r>
    </w:p>
  </w:footnote>
  <w:footnote w:type="continuationSeparator" w:id="0">
    <w:p w14:paraId="34EB8540" w14:textId="77777777" w:rsidR="005947B5" w:rsidRDefault="005947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8ECF5A" w14:textId="77777777" w:rsidR="00A95A1C" w:rsidRDefault="00A95A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6EC72" w14:textId="77777777" w:rsidR="00A95A1C" w:rsidRDefault="00A95A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D09B7D"/>
    <w:multiLevelType w:val="hybridMultilevel"/>
    <w:tmpl w:val="5292FCB4"/>
    <w:lvl w:ilvl="0" w:tplc="3DBA8B20">
      <w:start w:val="1"/>
      <w:numFmt w:val="bullet"/>
      <w:lvlText w:val=""/>
      <w:lvlJc w:val="left"/>
      <w:pPr>
        <w:ind w:left="720" w:hanging="360"/>
      </w:pPr>
      <w:rPr>
        <w:rFonts w:ascii="Symbol" w:hAnsi="Symbol" w:hint="default"/>
      </w:rPr>
    </w:lvl>
    <w:lvl w:ilvl="1" w:tplc="E48EA078">
      <w:start w:val="1"/>
      <w:numFmt w:val="bullet"/>
      <w:lvlText w:val="o"/>
      <w:lvlJc w:val="left"/>
      <w:pPr>
        <w:ind w:left="1440" w:hanging="360"/>
      </w:pPr>
      <w:rPr>
        <w:rFonts w:ascii="Courier New" w:hAnsi="Courier New" w:hint="default"/>
      </w:rPr>
    </w:lvl>
    <w:lvl w:ilvl="2" w:tplc="9A60DADC">
      <w:start w:val="1"/>
      <w:numFmt w:val="bullet"/>
      <w:lvlText w:val=""/>
      <w:lvlJc w:val="left"/>
      <w:pPr>
        <w:ind w:left="2160" w:hanging="360"/>
      </w:pPr>
      <w:rPr>
        <w:rFonts w:ascii="Wingdings" w:hAnsi="Wingdings" w:hint="default"/>
      </w:rPr>
    </w:lvl>
    <w:lvl w:ilvl="3" w:tplc="C9FE9C12">
      <w:start w:val="1"/>
      <w:numFmt w:val="bullet"/>
      <w:lvlText w:val=""/>
      <w:lvlJc w:val="left"/>
      <w:pPr>
        <w:ind w:left="2880" w:hanging="360"/>
      </w:pPr>
      <w:rPr>
        <w:rFonts w:ascii="Symbol" w:hAnsi="Symbol" w:hint="default"/>
      </w:rPr>
    </w:lvl>
    <w:lvl w:ilvl="4" w:tplc="C64CF630">
      <w:start w:val="1"/>
      <w:numFmt w:val="bullet"/>
      <w:lvlText w:val="o"/>
      <w:lvlJc w:val="left"/>
      <w:pPr>
        <w:ind w:left="3600" w:hanging="360"/>
      </w:pPr>
      <w:rPr>
        <w:rFonts w:ascii="Courier New" w:hAnsi="Courier New" w:hint="default"/>
      </w:rPr>
    </w:lvl>
    <w:lvl w:ilvl="5" w:tplc="181C6994">
      <w:start w:val="1"/>
      <w:numFmt w:val="bullet"/>
      <w:lvlText w:val=""/>
      <w:lvlJc w:val="left"/>
      <w:pPr>
        <w:ind w:left="4320" w:hanging="360"/>
      </w:pPr>
      <w:rPr>
        <w:rFonts w:ascii="Wingdings" w:hAnsi="Wingdings" w:hint="default"/>
      </w:rPr>
    </w:lvl>
    <w:lvl w:ilvl="6" w:tplc="D9042E50">
      <w:start w:val="1"/>
      <w:numFmt w:val="bullet"/>
      <w:lvlText w:val=""/>
      <w:lvlJc w:val="left"/>
      <w:pPr>
        <w:ind w:left="5040" w:hanging="360"/>
      </w:pPr>
      <w:rPr>
        <w:rFonts w:ascii="Symbol" w:hAnsi="Symbol" w:hint="default"/>
      </w:rPr>
    </w:lvl>
    <w:lvl w:ilvl="7" w:tplc="419C78AA">
      <w:start w:val="1"/>
      <w:numFmt w:val="bullet"/>
      <w:lvlText w:val="o"/>
      <w:lvlJc w:val="left"/>
      <w:pPr>
        <w:ind w:left="5760" w:hanging="360"/>
      </w:pPr>
      <w:rPr>
        <w:rFonts w:ascii="Courier New" w:hAnsi="Courier New" w:hint="default"/>
      </w:rPr>
    </w:lvl>
    <w:lvl w:ilvl="8" w:tplc="AD2044D4">
      <w:start w:val="1"/>
      <w:numFmt w:val="bullet"/>
      <w:lvlText w:val=""/>
      <w:lvlJc w:val="left"/>
      <w:pPr>
        <w:ind w:left="6480" w:hanging="360"/>
      </w:pPr>
      <w:rPr>
        <w:rFonts w:ascii="Wingdings" w:hAnsi="Wingdings" w:hint="default"/>
      </w:rPr>
    </w:lvl>
  </w:abstractNum>
  <w:abstractNum w:abstractNumId="19">
    <w:nsid w:val="3F89A18F"/>
    <w:multiLevelType w:val="hybridMultilevel"/>
    <w:tmpl w:val="9A10DD2E"/>
    <w:lvl w:ilvl="0" w:tplc="AEAA4442">
      <w:start w:val="1"/>
      <w:numFmt w:val="decimal"/>
      <w:lvlText w:val="%1."/>
      <w:lvlJc w:val="left"/>
      <w:pPr>
        <w:ind w:left="720" w:hanging="360"/>
      </w:pPr>
    </w:lvl>
    <w:lvl w:ilvl="1" w:tplc="FC585B38">
      <w:start w:val="1"/>
      <w:numFmt w:val="lowerLetter"/>
      <w:lvlText w:val="%2."/>
      <w:lvlJc w:val="left"/>
      <w:pPr>
        <w:ind w:left="1440" w:hanging="360"/>
      </w:pPr>
    </w:lvl>
    <w:lvl w:ilvl="2" w:tplc="D1F662B8">
      <w:start w:val="1"/>
      <w:numFmt w:val="lowerRoman"/>
      <w:lvlText w:val="%3."/>
      <w:lvlJc w:val="right"/>
      <w:pPr>
        <w:ind w:left="2160" w:hanging="180"/>
      </w:pPr>
    </w:lvl>
    <w:lvl w:ilvl="3" w:tplc="941C8D4C">
      <w:start w:val="1"/>
      <w:numFmt w:val="decimal"/>
      <w:lvlText w:val="%4."/>
      <w:lvlJc w:val="left"/>
      <w:pPr>
        <w:ind w:left="2880" w:hanging="360"/>
      </w:pPr>
    </w:lvl>
    <w:lvl w:ilvl="4" w:tplc="0B9CD4D4">
      <w:start w:val="1"/>
      <w:numFmt w:val="lowerLetter"/>
      <w:lvlText w:val="%5."/>
      <w:lvlJc w:val="left"/>
      <w:pPr>
        <w:ind w:left="3600" w:hanging="360"/>
      </w:pPr>
    </w:lvl>
    <w:lvl w:ilvl="5" w:tplc="73C2513A">
      <w:start w:val="1"/>
      <w:numFmt w:val="lowerRoman"/>
      <w:lvlText w:val="%6."/>
      <w:lvlJc w:val="right"/>
      <w:pPr>
        <w:ind w:left="4320" w:hanging="180"/>
      </w:pPr>
    </w:lvl>
    <w:lvl w:ilvl="6" w:tplc="7C846D24">
      <w:start w:val="1"/>
      <w:numFmt w:val="decimal"/>
      <w:lvlText w:val="%7."/>
      <w:lvlJc w:val="left"/>
      <w:pPr>
        <w:ind w:left="5040" w:hanging="360"/>
      </w:pPr>
    </w:lvl>
    <w:lvl w:ilvl="7" w:tplc="61C06BCC">
      <w:start w:val="1"/>
      <w:numFmt w:val="lowerLetter"/>
      <w:lvlText w:val="%8."/>
      <w:lvlJc w:val="left"/>
      <w:pPr>
        <w:ind w:left="5760" w:hanging="360"/>
      </w:pPr>
    </w:lvl>
    <w:lvl w:ilvl="8" w:tplc="DFAC8602">
      <w:start w:val="1"/>
      <w:numFmt w:val="lowerRoman"/>
      <w:lvlText w:val="%9."/>
      <w:lvlJc w:val="right"/>
      <w:pPr>
        <w:ind w:left="6480" w:hanging="180"/>
      </w:pPr>
    </w:lvl>
  </w:abstractNum>
  <w:abstractNum w:abstractNumId="20">
    <w:nsid w:val="51E804F2"/>
    <w:multiLevelType w:val="hybridMultilevel"/>
    <w:tmpl w:val="F238D014"/>
    <w:lvl w:ilvl="0" w:tplc="18CE067E">
      <w:start w:val="1"/>
      <w:numFmt w:val="bullet"/>
      <w:lvlText w:val=""/>
      <w:lvlJc w:val="left"/>
      <w:pPr>
        <w:ind w:left="720" w:hanging="360"/>
      </w:pPr>
      <w:rPr>
        <w:rFonts w:ascii="Symbol" w:hAnsi="Symbol" w:hint="default"/>
      </w:rPr>
    </w:lvl>
    <w:lvl w:ilvl="1" w:tplc="544EB796">
      <w:start w:val="1"/>
      <w:numFmt w:val="bullet"/>
      <w:lvlText w:val="o"/>
      <w:lvlJc w:val="left"/>
      <w:pPr>
        <w:ind w:left="1440" w:hanging="360"/>
      </w:pPr>
      <w:rPr>
        <w:rFonts w:ascii="Courier New" w:hAnsi="Courier New" w:hint="default"/>
      </w:rPr>
    </w:lvl>
    <w:lvl w:ilvl="2" w:tplc="88B89310">
      <w:start w:val="1"/>
      <w:numFmt w:val="bullet"/>
      <w:lvlText w:val=""/>
      <w:lvlJc w:val="left"/>
      <w:pPr>
        <w:ind w:left="2160" w:hanging="360"/>
      </w:pPr>
      <w:rPr>
        <w:rFonts w:ascii="Wingdings" w:hAnsi="Wingdings" w:hint="default"/>
      </w:rPr>
    </w:lvl>
    <w:lvl w:ilvl="3" w:tplc="5C66173E">
      <w:start w:val="1"/>
      <w:numFmt w:val="bullet"/>
      <w:lvlText w:val=""/>
      <w:lvlJc w:val="left"/>
      <w:pPr>
        <w:ind w:left="2880" w:hanging="360"/>
      </w:pPr>
      <w:rPr>
        <w:rFonts w:ascii="Symbol" w:hAnsi="Symbol" w:hint="default"/>
      </w:rPr>
    </w:lvl>
    <w:lvl w:ilvl="4" w:tplc="FDD0C1BC">
      <w:start w:val="1"/>
      <w:numFmt w:val="bullet"/>
      <w:lvlText w:val="o"/>
      <w:lvlJc w:val="left"/>
      <w:pPr>
        <w:ind w:left="3600" w:hanging="360"/>
      </w:pPr>
      <w:rPr>
        <w:rFonts w:ascii="Courier New" w:hAnsi="Courier New" w:hint="default"/>
      </w:rPr>
    </w:lvl>
    <w:lvl w:ilvl="5" w:tplc="D4123E3E">
      <w:start w:val="1"/>
      <w:numFmt w:val="bullet"/>
      <w:lvlText w:val=""/>
      <w:lvlJc w:val="left"/>
      <w:pPr>
        <w:ind w:left="4320" w:hanging="360"/>
      </w:pPr>
      <w:rPr>
        <w:rFonts w:ascii="Wingdings" w:hAnsi="Wingdings" w:hint="default"/>
      </w:rPr>
    </w:lvl>
    <w:lvl w:ilvl="6" w:tplc="61E87D72">
      <w:start w:val="1"/>
      <w:numFmt w:val="bullet"/>
      <w:lvlText w:val=""/>
      <w:lvlJc w:val="left"/>
      <w:pPr>
        <w:ind w:left="5040" w:hanging="360"/>
      </w:pPr>
      <w:rPr>
        <w:rFonts w:ascii="Symbol" w:hAnsi="Symbol" w:hint="default"/>
      </w:rPr>
    </w:lvl>
    <w:lvl w:ilvl="7" w:tplc="01CE86E4">
      <w:start w:val="1"/>
      <w:numFmt w:val="bullet"/>
      <w:lvlText w:val="o"/>
      <w:lvlJc w:val="left"/>
      <w:pPr>
        <w:ind w:left="5760" w:hanging="360"/>
      </w:pPr>
      <w:rPr>
        <w:rFonts w:ascii="Courier New" w:hAnsi="Courier New" w:hint="default"/>
      </w:rPr>
    </w:lvl>
    <w:lvl w:ilvl="8" w:tplc="64D6BD48">
      <w:start w:val="1"/>
      <w:numFmt w:val="bullet"/>
      <w:lvlText w:val=""/>
      <w:lvlJc w:val="left"/>
      <w:pPr>
        <w:ind w:left="6480" w:hanging="360"/>
      </w:pPr>
      <w:rPr>
        <w:rFonts w:ascii="Wingdings" w:hAnsi="Wingdings" w:hint="default"/>
      </w:rPr>
    </w:lvl>
  </w:abstractNum>
  <w:abstractNum w:abstractNumId="21">
    <w:nsid w:val="61D6ADDE"/>
    <w:multiLevelType w:val="hybridMultilevel"/>
    <w:tmpl w:val="5C9E77F4"/>
    <w:lvl w:ilvl="0" w:tplc="4E6279D6">
      <w:start w:val="1"/>
      <w:numFmt w:val="bullet"/>
      <w:lvlText w:val=""/>
      <w:lvlJc w:val="left"/>
      <w:pPr>
        <w:ind w:left="720" w:hanging="360"/>
      </w:pPr>
      <w:rPr>
        <w:rFonts w:ascii="Symbol" w:hAnsi="Symbol" w:hint="default"/>
      </w:rPr>
    </w:lvl>
    <w:lvl w:ilvl="1" w:tplc="AC280852">
      <w:start w:val="1"/>
      <w:numFmt w:val="bullet"/>
      <w:lvlText w:val="o"/>
      <w:lvlJc w:val="left"/>
      <w:pPr>
        <w:ind w:left="1440" w:hanging="360"/>
      </w:pPr>
      <w:rPr>
        <w:rFonts w:ascii="Courier New" w:hAnsi="Courier New" w:hint="default"/>
      </w:rPr>
    </w:lvl>
    <w:lvl w:ilvl="2" w:tplc="9A70661C">
      <w:start w:val="1"/>
      <w:numFmt w:val="bullet"/>
      <w:lvlText w:val=""/>
      <w:lvlJc w:val="left"/>
      <w:pPr>
        <w:ind w:left="2160" w:hanging="360"/>
      </w:pPr>
      <w:rPr>
        <w:rFonts w:ascii="Wingdings" w:hAnsi="Wingdings" w:hint="default"/>
      </w:rPr>
    </w:lvl>
    <w:lvl w:ilvl="3" w:tplc="9F3C33DE">
      <w:start w:val="1"/>
      <w:numFmt w:val="bullet"/>
      <w:lvlText w:val=""/>
      <w:lvlJc w:val="left"/>
      <w:pPr>
        <w:ind w:left="2880" w:hanging="360"/>
      </w:pPr>
      <w:rPr>
        <w:rFonts w:ascii="Symbol" w:hAnsi="Symbol" w:hint="default"/>
      </w:rPr>
    </w:lvl>
    <w:lvl w:ilvl="4" w:tplc="1C704ED8">
      <w:start w:val="1"/>
      <w:numFmt w:val="bullet"/>
      <w:lvlText w:val="o"/>
      <w:lvlJc w:val="left"/>
      <w:pPr>
        <w:ind w:left="3600" w:hanging="360"/>
      </w:pPr>
      <w:rPr>
        <w:rFonts w:ascii="Courier New" w:hAnsi="Courier New" w:hint="default"/>
      </w:rPr>
    </w:lvl>
    <w:lvl w:ilvl="5" w:tplc="3B4098C0">
      <w:start w:val="1"/>
      <w:numFmt w:val="bullet"/>
      <w:lvlText w:val=""/>
      <w:lvlJc w:val="left"/>
      <w:pPr>
        <w:ind w:left="4320" w:hanging="360"/>
      </w:pPr>
      <w:rPr>
        <w:rFonts w:ascii="Wingdings" w:hAnsi="Wingdings" w:hint="default"/>
      </w:rPr>
    </w:lvl>
    <w:lvl w:ilvl="6" w:tplc="8E6C3CD6">
      <w:start w:val="1"/>
      <w:numFmt w:val="bullet"/>
      <w:lvlText w:val=""/>
      <w:lvlJc w:val="left"/>
      <w:pPr>
        <w:ind w:left="5040" w:hanging="360"/>
      </w:pPr>
      <w:rPr>
        <w:rFonts w:ascii="Symbol" w:hAnsi="Symbol" w:hint="default"/>
      </w:rPr>
    </w:lvl>
    <w:lvl w:ilvl="7" w:tplc="34806F9C">
      <w:start w:val="1"/>
      <w:numFmt w:val="bullet"/>
      <w:lvlText w:val="o"/>
      <w:lvlJc w:val="left"/>
      <w:pPr>
        <w:ind w:left="5760" w:hanging="360"/>
      </w:pPr>
      <w:rPr>
        <w:rFonts w:ascii="Courier New" w:hAnsi="Courier New" w:hint="default"/>
      </w:rPr>
    </w:lvl>
    <w:lvl w:ilvl="8" w:tplc="15E0A9C4">
      <w:start w:val="1"/>
      <w:numFmt w:val="bullet"/>
      <w:lvlText w:val=""/>
      <w:lvlJc w:val="left"/>
      <w:pPr>
        <w:ind w:left="6480" w:hanging="360"/>
      </w:pPr>
      <w:rPr>
        <w:rFonts w:ascii="Wingdings" w:hAnsi="Wingdings" w:hint="default"/>
      </w:rPr>
    </w:lvl>
  </w:abstractNum>
  <w:abstractNum w:abstractNumId="22">
    <w:nsid w:val="651AEF2F"/>
    <w:multiLevelType w:val="hybridMultilevel"/>
    <w:tmpl w:val="EB4C619A"/>
    <w:lvl w:ilvl="0" w:tplc="B0760C14">
      <w:start w:val="1"/>
      <w:numFmt w:val="bullet"/>
      <w:lvlText w:val=""/>
      <w:lvlJc w:val="left"/>
      <w:pPr>
        <w:ind w:left="720" w:hanging="360"/>
      </w:pPr>
      <w:rPr>
        <w:rFonts w:ascii="Symbol" w:hAnsi="Symbol" w:hint="default"/>
      </w:rPr>
    </w:lvl>
    <w:lvl w:ilvl="1" w:tplc="C1128B68">
      <w:start w:val="1"/>
      <w:numFmt w:val="bullet"/>
      <w:lvlText w:val="o"/>
      <w:lvlJc w:val="left"/>
      <w:pPr>
        <w:ind w:left="1440" w:hanging="360"/>
      </w:pPr>
      <w:rPr>
        <w:rFonts w:ascii="Courier New" w:hAnsi="Courier New" w:hint="default"/>
      </w:rPr>
    </w:lvl>
    <w:lvl w:ilvl="2" w:tplc="A51E034C">
      <w:start w:val="1"/>
      <w:numFmt w:val="bullet"/>
      <w:lvlText w:val=""/>
      <w:lvlJc w:val="left"/>
      <w:pPr>
        <w:ind w:left="2160" w:hanging="360"/>
      </w:pPr>
      <w:rPr>
        <w:rFonts w:ascii="Wingdings" w:hAnsi="Wingdings" w:hint="default"/>
      </w:rPr>
    </w:lvl>
    <w:lvl w:ilvl="3" w:tplc="D8749714">
      <w:start w:val="1"/>
      <w:numFmt w:val="bullet"/>
      <w:lvlText w:val=""/>
      <w:lvlJc w:val="left"/>
      <w:pPr>
        <w:ind w:left="2880" w:hanging="360"/>
      </w:pPr>
      <w:rPr>
        <w:rFonts w:ascii="Symbol" w:hAnsi="Symbol" w:hint="default"/>
      </w:rPr>
    </w:lvl>
    <w:lvl w:ilvl="4" w:tplc="7EF280A0">
      <w:start w:val="1"/>
      <w:numFmt w:val="bullet"/>
      <w:lvlText w:val="o"/>
      <w:lvlJc w:val="left"/>
      <w:pPr>
        <w:ind w:left="3600" w:hanging="360"/>
      </w:pPr>
      <w:rPr>
        <w:rFonts w:ascii="Courier New" w:hAnsi="Courier New" w:hint="default"/>
      </w:rPr>
    </w:lvl>
    <w:lvl w:ilvl="5" w:tplc="F6EE9802">
      <w:start w:val="1"/>
      <w:numFmt w:val="bullet"/>
      <w:lvlText w:val=""/>
      <w:lvlJc w:val="left"/>
      <w:pPr>
        <w:ind w:left="4320" w:hanging="360"/>
      </w:pPr>
      <w:rPr>
        <w:rFonts w:ascii="Wingdings" w:hAnsi="Wingdings" w:hint="default"/>
      </w:rPr>
    </w:lvl>
    <w:lvl w:ilvl="6" w:tplc="350A3582">
      <w:start w:val="1"/>
      <w:numFmt w:val="bullet"/>
      <w:lvlText w:val=""/>
      <w:lvlJc w:val="left"/>
      <w:pPr>
        <w:ind w:left="5040" w:hanging="360"/>
      </w:pPr>
      <w:rPr>
        <w:rFonts w:ascii="Symbol" w:hAnsi="Symbol" w:hint="default"/>
      </w:rPr>
    </w:lvl>
    <w:lvl w:ilvl="7" w:tplc="154EDA2E">
      <w:start w:val="1"/>
      <w:numFmt w:val="bullet"/>
      <w:lvlText w:val="o"/>
      <w:lvlJc w:val="left"/>
      <w:pPr>
        <w:ind w:left="5760" w:hanging="360"/>
      </w:pPr>
      <w:rPr>
        <w:rFonts w:ascii="Courier New" w:hAnsi="Courier New" w:hint="default"/>
      </w:rPr>
    </w:lvl>
    <w:lvl w:ilvl="8" w:tplc="AA70032C">
      <w:start w:val="1"/>
      <w:numFmt w:val="bullet"/>
      <w:lvlText w:val=""/>
      <w:lvlJc w:val="left"/>
      <w:pPr>
        <w:ind w:left="6480" w:hanging="360"/>
      </w:pPr>
      <w:rPr>
        <w:rFonts w:ascii="Wingdings" w:hAnsi="Wingdings" w:hint="default"/>
      </w:rPr>
    </w:lvl>
  </w:abstractNum>
  <w:abstractNum w:abstractNumId="23">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8"/>
  </w:num>
  <w:num w:numId="4">
    <w:abstractNumId w:val="20"/>
  </w:num>
  <w:num w:numId="5">
    <w:abstractNumId w:val="22"/>
  </w:num>
  <w:num w:numId="6">
    <w:abstractNumId w:val="8"/>
  </w:num>
  <w:num w:numId="7">
    <w:abstractNumId w:val="15"/>
  </w:num>
  <w:num w:numId="8">
    <w:abstractNumId w:val="12"/>
  </w:num>
  <w:num w:numId="9">
    <w:abstractNumId w:val="2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308AC"/>
    <w:rsid w:val="00057C13"/>
    <w:rsid w:val="00070C5D"/>
    <w:rsid w:val="00093E20"/>
    <w:rsid w:val="000A3808"/>
    <w:rsid w:val="000B3B42"/>
    <w:rsid w:val="000F3B03"/>
    <w:rsid w:val="001036EF"/>
    <w:rsid w:val="00195EF0"/>
    <w:rsid w:val="001E0605"/>
    <w:rsid w:val="001E3F61"/>
    <w:rsid w:val="00202CA0"/>
    <w:rsid w:val="00256A79"/>
    <w:rsid w:val="002986E9"/>
    <w:rsid w:val="003116C7"/>
    <w:rsid w:val="0032265B"/>
    <w:rsid w:val="00336BBE"/>
    <w:rsid w:val="003800BF"/>
    <w:rsid w:val="005153FD"/>
    <w:rsid w:val="005362D3"/>
    <w:rsid w:val="00556B28"/>
    <w:rsid w:val="00590954"/>
    <w:rsid w:val="005920A3"/>
    <w:rsid w:val="005947B5"/>
    <w:rsid w:val="005A10AC"/>
    <w:rsid w:val="005C52FA"/>
    <w:rsid w:val="005E3C63"/>
    <w:rsid w:val="005E6F3B"/>
    <w:rsid w:val="0061189C"/>
    <w:rsid w:val="00646A43"/>
    <w:rsid w:val="00661801"/>
    <w:rsid w:val="006872D0"/>
    <w:rsid w:val="00757751"/>
    <w:rsid w:val="00762C4D"/>
    <w:rsid w:val="007A01E9"/>
    <w:rsid w:val="007E1684"/>
    <w:rsid w:val="007E5507"/>
    <w:rsid w:val="008326CC"/>
    <w:rsid w:val="008D3448"/>
    <w:rsid w:val="009D3E9E"/>
    <w:rsid w:val="009E197D"/>
    <w:rsid w:val="00A82795"/>
    <w:rsid w:val="00A95A1C"/>
    <w:rsid w:val="00B0191D"/>
    <w:rsid w:val="00C90120"/>
    <w:rsid w:val="00CF1368"/>
    <w:rsid w:val="00D26E84"/>
    <w:rsid w:val="00DA1FA5"/>
    <w:rsid w:val="00DB09EE"/>
    <w:rsid w:val="00E9057A"/>
    <w:rsid w:val="00E918AC"/>
    <w:rsid w:val="00EF7217"/>
    <w:rsid w:val="00F359BE"/>
    <w:rsid w:val="00F76EF3"/>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LineNumber">
    <w:name w:val="line number"/>
    <w:basedOn w:val="DefaultParagraphFont"/>
    <w:uiPriority w:val="99"/>
    <w:semiHidden/>
    <w:unhideWhenUsed/>
    <w:rsid w:val="005E6F3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LineNumber">
    <w:name w:val="line number"/>
    <w:basedOn w:val="DefaultParagraphFont"/>
    <w:uiPriority w:val="99"/>
    <w:semiHidden/>
    <w:unhideWhenUsed/>
    <w:rsid w:val="005E6F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34" Type="http://schemas.openxmlformats.org/officeDocument/2006/relationships/image" Target="media/image23.jpe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22.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3.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2.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95506506-9243-4C50-AA9C-420100DAF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2780</Words>
  <Characters>15851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hp</cp:lastModifiedBy>
  <cp:revision>2</cp:revision>
  <cp:lastPrinted>2021-01-28T09:49:00Z</cp:lastPrinted>
  <dcterms:created xsi:type="dcterms:W3CDTF">2024-03-23T05:40:00Z</dcterms:created>
  <dcterms:modified xsi:type="dcterms:W3CDTF">2024-03-23T05:40:00Z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