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Services Agreement — Novel Clause</w:t>
      </w:r>
    </w:p>
    <w:p>
      <w:r>
        <w:t>This agreement is entered into between Acme Corp ('Company') and InsureCo Ltd ('Vendor').</w:t>
      </w:r>
    </w:p>
    <w:p>
      <w:pPr>
        <w:pStyle w:val="Heading1"/>
      </w:pPr>
      <w:r>
        <w:t>1. Limitation of Liability</w:t>
      </w:r>
    </w:p>
    <w:p>
      <w:r>
        <w:t>Each party's liability under this agreement is limited to the amount recoverable under its insurance policy in force at the time of the claim. Neither party represents that any particular level of insurance coverage will be maintained.</w:t>
      </w:r>
    </w:p>
    <w:p>
      <w:pPr>
        <w:pStyle w:val="Heading1"/>
      </w:pPr>
      <w:r>
        <w:t>2. Data Processing</w:t>
      </w:r>
    </w:p>
    <w:p>
      <w:r>
        <w:t>The parties shall execute a Data Processing Agreement attached hereto as Exhibit A, which is GDPR compliant and incorporates the standard contractual clauses as approved by the European Commission.</w:t>
      </w:r>
    </w:p>
    <w:p>
      <w:pPr>
        <w:pStyle w:val="Heading1"/>
      </w:pPr>
      <w:r>
        <w:t>3. Termination</w:t>
      </w:r>
    </w:p>
    <w:p>
      <w:r>
        <w:t>Either party may terminate this agreement for convenience on 30 days written notice to the other party. Termination does not affect accrued rights or obligations.</w:t>
      </w:r>
    </w:p>
    <w:p>
      <w:pPr>
        <w:pStyle w:val="Heading1"/>
      </w:pPr>
      <w:r>
        <w:t>4. Intellectual Property</w:t>
      </w:r>
    </w:p>
    <w:p>
      <w:r>
        <w:t>Each party retains ownership of pre-existing IP brought to this engagement. All deliverables created by Vendor for Company shall be work for hire owned by Company.</w:t>
      </w:r>
    </w:p>
    <w:p>
      <w:pPr>
        <w:pStyle w:val="Heading1"/>
      </w:pPr>
      <w:r>
        <w:t>5. Service Level Agreement</w:t>
      </w:r>
    </w:p>
    <w:p>
      <w:r>
        <w:t>Vendor commits to 99.5% uptime for the platform, measured monthly. Scheduled maintenance windows are excluded from uptime calculations.</w:t>
      </w:r>
    </w:p>
    <w:p>
      <w:pPr>
        <w:pStyle w:val="Heading1"/>
      </w:pPr>
      <w:r>
        <w:t>6. Governing Law</w:t>
      </w:r>
    </w:p>
    <w:p>
      <w:r>
        <w:t>This agreement is governed by the laws of England and Wales. The parties submit to the exclusive jurisdiction of the courts of England and Wales.</w:t>
      </w:r>
    </w:p>
    <w:p>
      <w:pPr>
        <w:pStyle w:val="Heading1"/>
      </w:pPr>
      <w:r>
        <w:t>7. Indemnification</w:t>
      </w:r>
    </w:p>
    <w:p>
      <w:r>
        <w:t>Vendor shall indemnify Company against third-party IP infringement claims only, arising directly from Vendor's deliverables. This indemnity excludes claims arising from Company's modifications or combination with third-party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