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Services Agreement — Escalation Required</w:t>
      </w:r>
    </w:p>
    <w:p>
      <w:r>
        <w:t>This agreement is entered into between Acme Corp ('Company') and RiskyCo Ltd ('Vendor').</w:t>
      </w:r>
    </w:p>
    <w:p>
      <w:pPr>
        <w:pStyle w:val="Heading1"/>
      </w:pPr>
      <w:r>
        <w:t>1. Limitation of Liability</w:t>
      </w:r>
    </w:p>
    <w:p>
      <w:r>
        <w:t>Notwithstanding anything to the contrary, Vendor's liability under this agreement shall be unlimited. The parties agree that no cap shall apply to any claim of whatever nature arising under or in connection with this agreement.</w:t>
      </w:r>
    </w:p>
    <w:p>
      <w:pPr>
        <w:pStyle w:val="Heading1"/>
      </w:pPr>
      <w:r>
        <w:t>2. Termination</w:t>
      </w:r>
    </w:p>
    <w:p>
      <w:r>
        <w:t>Either party may terminate this agreement on 30 days written notice. Early termination by Company shall trigger a penalty equal to remaining contract value.</w:t>
      </w:r>
    </w:p>
    <w:p>
      <w:pPr>
        <w:pStyle w:val="Heading1"/>
      </w:pPr>
      <w:r>
        <w:t>3. Intellectual Property</w:t>
      </w:r>
    </w:p>
    <w:p>
      <w:r>
        <w:t>Each party retains ownership of pre-existing IP brought to this engagement. Deliverables shall be work for hire and owned by the Company upon delivery.</w:t>
      </w:r>
    </w:p>
    <w:p>
      <w:pPr>
        <w:pStyle w:val="Heading1"/>
      </w:pPr>
      <w:r>
        <w:t>4. Service Levels</w:t>
      </w:r>
    </w:p>
    <w:p>
      <w:r>
        <w:t>Vendor commits to 99.9% monthly uptime for the core platform services as defined in Schedule A.</w:t>
      </w:r>
    </w:p>
    <w:p>
      <w:pPr>
        <w:pStyle w:val="Heading1"/>
      </w:pPr>
      <w:r>
        <w:t>5. Governing Law</w:t>
      </w:r>
    </w:p>
    <w:p>
      <w:r>
        <w:t>This agreement shall be governed by the laws of England and Wales.</w:t>
      </w:r>
    </w:p>
    <w:p>
      <w:pPr>
        <w:pStyle w:val="Heading1"/>
      </w:pPr>
      <w:r>
        <w:t>6. Indemnification</w:t>
      </w:r>
    </w:p>
    <w:p>
      <w:r>
        <w:t>Company shall indemnify for third-party IP infringement claims only arising directly from use of the Vendor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