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Vendor Services Agreement — Negotiable Deviations</w:t>
      </w:r>
    </w:p>
    <w:p>
      <w:r>
        <w:t>This agreement is entered into between Acme Corp ('Company') and DevCo Ltd ('Vendor').</w:t>
      </w:r>
    </w:p>
    <w:p>
      <w:pPr>
        <w:pStyle w:val="Heading1"/>
      </w:pPr>
      <w:r>
        <w:t>1. Limitation of Liability</w:t>
      </w:r>
    </w:p>
    <w:p>
      <w:r>
        <w:t>Vendor's liability under this agreement shall be capped at 3x annual fees paid by Company in the contract year in which the claim arises. Neither party shall be liable for indirect or punitive damages.</w:t>
      </w:r>
    </w:p>
    <w:p>
      <w:pPr>
        <w:pStyle w:val="Heading1"/>
      </w:pPr>
      <w:r>
        <w:t>2. Data Processing</w:t>
      </w:r>
    </w:p>
    <w:p>
      <w:r>
        <w:t>A Data Processing Agreement is attached hereto as Schedule B, which is GDPR compliant and incorporates the standard contractual clauses issued by the European Commission.</w:t>
      </w:r>
    </w:p>
    <w:p>
      <w:pPr>
        <w:pStyle w:val="Heading1"/>
      </w:pPr>
      <w:r>
        <w:t>3. Termination</w:t>
      </w:r>
    </w:p>
    <w:p>
      <w:r>
        <w:t>Either party may terminate this agreement for convenience on 60 days written notice to the other party. All fees accrued prior to the termination date remain payable.</w:t>
      </w:r>
    </w:p>
    <w:p>
      <w:pPr>
        <w:pStyle w:val="Heading1"/>
      </w:pPr>
      <w:r>
        <w:t>4. Intellectual Property</w:t>
      </w:r>
    </w:p>
    <w:p>
      <w:r>
        <w:t>Each party retains ownership of pre-existing IP. Deliverables created under this agreement shall be work for hire owned by Company upon full payment.</w:t>
      </w:r>
    </w:p>
    <w:p>
      <w:pPr>
        <w:pStyle w:val="Heading1"/>
      </w:pPr>
      <w:r>
        <w:t>5. Service Levels</w:t>
      </w:r>
    </w:p>
    <w:p>
      <w:r>
        <w:t>Vendor commits to 99.5% uptime for the platform, measured monthly. Scheduled maintenance windows are excluded from uptime calculations.</w:t>
      </w:r>
    </w:p>
    <w:p>
      <w:pPr>
        <w:pStyle w:val="Heading1"/>
      </w:pPr>
      <w:r>
        <w:t>6. Governing Law</w:t>
      </w:r>
    </w:p>
    <w:p>
      <w:r>
        <w:t>This agreement shall be governed by and construed in accordance with the laws of the State of New York, without regard to its conflict of law principles.</w:t>
      </w:r>
    </w:p>
    <w:p>
      <w:pPr>
        <w:pStyle w:val="Heading1"/>
      </w:pPr>
      <w:r>
        <w:t>7. Indemnification</w:t>
      </w:r>
    </w:p>
    <w:p>
      <w:r>
        <w:t>Vendor shall indemnify Company against third-party intellectual property infringement claims only, limited to gross negligence or wilful misconduct of Vendor.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