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0A28" w:rsidRDefault="00DB429F">
      <w:r>
        <w:fldChar w:fldCharType="begin"/>
      </w:r>
      <w:r>
        <w:instrText xml:space="preserve"> HYPERLINK "</w:instrText>
      </w:r>
      <w:r w:rsidRPr="00DB429F">
        <w:instrText>https://www.journaldespalaces.com/index.php?home=actualites.php</w:instrText>
      </w:r>
      <w:r>
        <w:instrText xml:space="preserve">" </w:instrText>
      </w:r>
      <w:r>
        <w:fldChar w:fldCharType="separate"/>
      </w:r>
      <w:r w:rsidRPr="009A2EB9">
        <w:rPr>
          <w:rStyle w:val="Lienhypertexte"/>
        </w:rPr>
        <w:t>https://www.journaldespalaces.com/index.php?home=actualites.php</w:t>
      </w:r>
      <w:r>
        <w:fldChar w:fldCharType="end"/>
      </w:r>
    </w:p>
    <w:p w:rsidR="00DB429F" w:rsidRDefault="00DB429F"/>
    <w:p w:rsidR="00DB429F" w:rsidRDefault="00DB429F" w:rsidP="00DB429F">
      <w:pPr>
        <w:pStyle w:val="Titre2"/>
      </w:pPr>
      <w:r>
        <w:t>1</w:t>
      </w:r>
    </w:p>
    <w:p w:rsidR="00DB429F" w:rsidRDefault="00DB429F" w:rsidP="00DB429F">
      <w:pPr>
        <w:pStyle w:val="Titre2"/>
      </w:pPr>
      <w:hyperlink r:id="rId4" w:history="1">
        <w:r>
          <w:rPr>
            <w:rStyle w:val="Lienhypertexte"/>
          </w:rPr>
          <w:t xml:space="preserve">Ouf Of </w:t>
        </w:r>
        <w:proofErr w:type="spellStart"/>
        <w:r>
          <w:rPr>
            <w:rStyle w:val="Lienhypertexte"/>
          </w:rPr>
          <w:t>Reach</w:t>
        </w:r>
        <w:proofErr w:type="spellEnd"/>
        <w:r>
          <w:rPr>
            <w:rStyle w:val="Lienhypertexte"/>
          </w:rPr>
          <w:t> : le voyage déconnectant ou déconnecté</w:t>
        </w:r>
      </w:hyperlink>
    </w:p>
    <w:p w:rsidR="00DB429F" w:rsidRDefault="00DB429F" w:rsidP="00DB429F">
      <w:pPr>
        <w:pStyle w:val="Titre3"/>
        <w:spacing w:before="75" w:beforeAutospacing="0"/>
      </w:pPr>
      <w:r>
        <w:t xml:space="preserve">Le Journal des Palaces s’est entretenu avec Félicie </w:t>
      </w:r>
      <w:proofErr w:type="spellStart"/>
      <w:r>
        <w:t>Royol</w:t>
      </w:r>
      <w:proofErr w:type="spellEnd"/>
      <w:r>
        <w:t xml:space="preserve">, co-fondatrice avec Sandrine </w:t>
      </w:r>
      <w:proofErr w:type="spellStart"/>
      <w:r>
        <w:t>Gaussein</w:t>
      </w:r>
      <w:proofErr w:type="spellEnd"/>
      <w:r>
        <w:t xml:space="preserve">-Casanova, d’Out Of </w:t>
      </w:r>
      <w:proofErr w:type="spellStart"/>
      <w:r>
        <w:t>Reach</w:t>
      </w:r>
      <w:proofErr w:type="spellEnd"/>
      <w:r>
        <w:t xml:space="preserve">… </w:t>
      </w:r>
    </w:p>
    <w:p w:rsidR="00DB429F" w:rsidRDefault="00DB429F" w:rsidP="00DB429F">
      <w:pPr>
        <w:pStyle w:val="Titre3"/>
        <w:spacing w:before="75" w:beforeAutospacing="0"/>
      </w:pPr>
      <w:r>
        <w:t xml:space="preserve">Out Of </w:t>
      </w:r>
      <w:proofErr w:type="spellStart"/>
      <w:r>
        <w:t>Reach</w:t>
      </w:r>
      <w:proofErr w:type="spellEnd"/>
      <w:r>
        <w:t xml:space="preserve"> est à la fois une agence de voyage de niche, dédiée aux séjours de pleine nature, en mode déconnecté, et un label. Son credo : vous reconnecter avec l’essentiel.</w:t>
      </w:r>
    </w:p>
    <w:p w:rsidR="00DB429F" w:rsidRDefault="00DB429F" w:rsidP="00DB429F">
      <w:pPr>
        <w:pStyle w:val="Titre3"/>
        <w:spacing w:before="75" w:beforeAutospacing="0"/>
      </w:pPr>
      <w:r>
        <w:t>2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7"/>
        <w:gridCol w:w="45"/>
      </w:tblGrid>
      <w:tr w:rsidR="00DB429F" w:rsidTr="00DB429F">
        <w:trPr>
          <w:gridAfter w:val="1"/>
          <w:tblCellSpacing w:w="15" w:type="dxa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750" w:type="dxa"/>
            </w:tcMar>
            <w:hideMark/>
          </w:tcPr>
          <w:p w:rsidR="00DB429F" w:rsidRDefault="00DB429F" w:rsidP="00C12D22">
            <w:pPr>
              <w:pStyle w:val="Titre1"/>
            </w:pPr>
            <w:r>
              <w:t xml:space="preserve">SKEMA et Emergence Concepts accompagnent les startups de la </w:t>
            </w:r>
            <w:proofErr w:type="spellStart"/>
            <w:r>
              <w:t>FoodTech</w:t>
            </w:r>
            <w:proofErr w:type="spellEnd"/>
            <w:r>
              <w:t xml:space="preserve"> (France)</w:t>
            </w:r>
          </w:p>
        </w:tc>
      </w:tr>
      <w:tr w:rsidR="00DB429F" w:rsidTr="00DB429F">
        <w:trPr>
          <w:tblCellSpacing w:w="15" w:type="dxa"/>
        </w:trPr>
        <w:tc>
          <w:tcPr>
            <w:tcW w:w="0" w:type="auto"/>
            <w:gridSpan w:val="2"/>
            <w:tcMar>
              <w:top w:w="0" w:type="dxa"/>
              <w:left w:w="0" w:type="dxa"/>
              <w:bottom w:w="0" w:type="dxa"/>
              <w:right w:w="1050" w:type="dxa"/>
            </w:tcMar>
            <w:hideMark/>
          </w:tcPr>
          <w:p w:rsidR="00DB429F" w:rsidRDefault="00DB429F">
            <w:pPr>
              <w:pStyle w:val="Titre2"/>
            </w:pPr>
            <w:r>
              <w:t xml:space="preserve">La gastronomie représente un secteur particulièrement attractif en France qui se place au premier rang européen des investissements dans ce domaine avec 227 millions d’euros investis en 2018 dans les startups </w:t>
            </w:r>
            <w:proofErr w:type="spellStart"/>
            <w:r>
              <w:t>FoodTech</w:t>
            </w:r>
            <w:proofErr w:type="spellEnd"/>
            <w:r>
              <w:t xml:space="preserve">. </w:t>
            </w:r>
          </w:p>
        </w:tc>
      </w:tr>
    </w:tbl>
    <w:p w:rsidR="00DB429F" w:rsidRDefault="00DB429F" w:rsidP="00DB429F">
      <w:pPr>
        <w:pStyle w:val="Titre3"/>
        <w:spacing w:before="75" w:beforeAutospacing="0"/>
      </w:pPr>
    </w:p>
    <w:p w:rsidR="00DB429F" w:rsidRDefault="00DB429F" w:rsidP="00DB429F">
      <w:pPr>
        <w:pStyle w:val="Titre3"/>
        <w:spacing w:before="75" w:beforeAutospacing="0"/>
      </w:pPr>
      <w:r>
        <w:t>3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7"/>
        <w:gridCol w:w="45"/>
      </w:tblGrid>
      <w:tr w:rsidR="00DB429F" w:rsidTr="00DB429F">
        <w:trPr>
          <w:gridAfter w:val="1"/>
          <w:tblCellSpacing w:w="15" w:type="dxa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750" w:type="dxa"/>
            </w:tcMar>
            <w:hideMark/>
          </w:tcPr>
          <w:p w:rsidR="00DB429F" w:rsidRDefault="00DB429F" w:rsidP="00C12D22">
            <w:pPr>
              <w:pStyle w:val="Titre1"/>
            </w:pPr>
            <w:r>
              <w:t xml:space="preserve">Les hôtels </w:t>
            </w:r>
            <w:proofErr w:type="spellStart"/>
            <w:r>
              <w:t>InterContinental</w:t>
            </w:r>
            <w:proofErr w:type="spellEnd"/>
            <w:r>
              <w:t xml:space="preserve">, The Brando &amp; Les </w:t>
            </w:r>
            <w:proofErr w:type="spellStart"/>
            <w:r>
              <w:t>Maitai</w:t>
            </w:r>
            <w:proofErr w:type="spellEnd"/>
            <w:r>
              <w:t xml:space="preserve"> engagés pour le développement durable en Polynésie </w:t>
            </w:r>
          </w:p>
        </w:tc>
      </w:tr>
      <w:tr w:rsidR="00DB429F" w:rsidTr="00DB429F">
        <w:trPr>
          <w:tblCellSpacing w:w="15" w:type="dxa"/>
        </w:trPr>
        <w:tc>
          <w:tcPr>
            <w:tcW w:w="0" w:type="auto"/>
            <w:gridSpan w:val="2"/>
            <w:tcMar>
              <w:top w:w="0" w:type="dxa"/>
              <w:left w:w="0" w:type="dxa"/>
              <w:bottom w:w="0" w:type="dxa"/>
              <w:right w:w="1050" w:type="dxa"/>
            </w:tcMar>
            <w:hideMark/>
          </w:tcPr>
          <w:p w:rsidR="00DB429F" w:rsidRDefault="00DB429F" w:rsidP="00DB429F">
            <w:pPr>
              <w:pStyle w:val="NormalWeb"/>
            </w:pPr>
            <w:r>
              <w:t>L</w:t>
            </w:r>
            <w:r>
              <w:t xml:space="preserve">e groupe Pacific </w:t>
            </w:r>
            <w:proofErr w:type="spellStart"/>
            <w:r>
              <w:t>Beachcomber</w:t>
            </w:r>
            <w:proofErr w:type="spellEnd"/>
            <w:r>
              <w:t xml:space="preserve"> met en place divers concepts, actions, pratiques et innovations au sein de ses établissements pour apporter une contribution concrète au développement durable. </w:t>
            </w:r>
            <w:r>
              <w:br/>
              <w:t xml:space="preserve">Crédit photo © Pacific </w:t>
            </w:r>
            <w:proofErr w:type="spellStart"/>
            <w:r>
              <w:t>Beachcomber</w:t>
            </w:r>
            <w:proofErr w:type="spellEnd"/>
          </w:p>
          <w:p w:rsidR="00DB429F" w:rsidRDefault="00DB429F">
            <w:r>
              <w:t>Le groupe met en place divers concepts, actions, pratiques et innovations au sein de ses établissements pour apporter une contribution concrète au développement durable.</w:t>
            </w:r>
          </w:p>
        </w:tc>
      </w:tr>
    </w:tbl>
    <w:p w:rsidR="00DB429F" w:rsidRDefault="00DB429F" w:rsidP="00DB429F">
      <w:pPr>
        <w:pStyle w:val="Titre3"/>
        <w:spacing w:before="75" w:beforeAutospacing="0"/>
      </w:pPr>
      <w:r>
        <w:t>4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7"/>
        <w:gridCol w:w="45"/>
      </w:tblGrid>
      <w:tr w:rsidR="00DB429F" w:rsidTr="00DB429F">
        <w:trPr>
          <w:gridAfter w:val="1"/>
          <w:tblCellSpacing w:w="15" w:type="dxa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750" w:type="dxa"/>
            </w:tcMar>
            <w:hideMark/>
          </w:tcPr>
          <w:p w:rsidR="00DB429F" w:rsidRDefault="00DB429F" w:rsidP="00C12D22">
            <w:pPr>
              <w:pStyle w:val="Titre1"/>
            </w:pPr>
            <w:proofErr w:type="spellStart"/>
            <w:r>
              <w:lastRenderedPageBreak/>
              <w:t>Birthday</w:t>
            </w:r>
            <w:proofErr w:type="spellEnd"/>
            <w:r>
              <w:t xml:space="preserve"> of an </w:t>
            </w:r>
            <w:proofErr w:type="spellStart"/>
            <w:r>
              <w:t>Icon</w:t>
            </w:r>
            <w:proofErr w:type="spellEnd"/>
            <w:r>
              <w:t xml:space="preserve">: </w:t>
            </w:r>
            <w:proofErr w:type="spellStart"/>
            <w:r>
              <w:t>Kempinski</w:t>
            </w:r>
            <w:proofErr w:type="spellEnd"/>
            <w:r>
              <w:t xml:space="preserve"> Lady in </w:t>
            </w:r>
            <w:proofErr w:type="spellStart"/>
            <w:r>
              <w:t>Red</w:t>
            </w:r>
            <w:proofErr w:type="spellEnd"/>
            <w:r>
              <w:t xml:space="preserve"> </w:t>
            </w:r>
            <w:proofErr w:type="spellStart"/>
            <w:r>
              <w:t>celebrates</w:t>
            </w:r>
            <w:proofErr w:type="spellEnd"/>
            <w:r>
              <w:t xml:space="preserve"> </w:t>
            </w:r>
            <w:proofErr w:type="spellStart"/>
            <w:r>
              <w:t>its</w:t>
            </w:r>
            <w:proofErr w:type="spellEnd"/>
            <w:r>
              <w:t xml:space="preserve"> 10th </w:t>
            </w:r>
            <w:proofErr w:type="spellStart"/>
            <w:r>
              <w:t>anniversary</w:t>
            </w:r>
            <w:proofErr w:type="spellEnd"/>
            <w:r>
              <w:t xml:space="preserve"> </w:t>
            </w:r>
          </w:p>
        </w:tc>
      </w:tr>
      <w:tr w:rsidR="00DB429F" w:rsidTr="00DB429F">
        <w:trPr>
          <w:tblCellSpacing w:w="15" w:type="dxa"/>
        </w:trPr>
        <w:tc>
          <w:tcPr>
            <w:tcW w:w="0" w:type="auto"/>
            <w:gridSpan w:val="2"/>
            <w:tcMar>
              <w:top w:w="0" w:type="dxa"/>
              <w:left w:w="0" w:type="dxa"/>
              <w:bottom w:w="0" w:type="dxa"/>
              <w:right w:w="1050" w:type="dxa"/>
            </w:tcMar>
            <w:hideMark/>
          </w:tcPr>
          <w:p w:rsidR="00DB429F" w:rsidRDefault="00DB429F">
            <w:pPr>
              <w:pStyle w:val="Titre2"/>
            </w:pPr>
            <w:proofErr w:type="spellStart"/>
            <w:r>
              <w:t>Providing</w:t>
            </w:r>
            <w:proofErr w:type="spellEnd"/>
            <w:r>
              <w:t xml:space="preserve"> a </w:t>
            </w:r>
            <w:proofErr w:type="spellStart"/>
            <w:r>
              <w:t>genuinely</w:t>
            </w:r>
            <w:proofErr w:type="spellEnd"/>
            <w:r>
              <w:t xml:space="preserve"> </w:t>
            </w:r>
            <w:proofErr w:type="spellStart"/>
            <w:r>
              <w:t>personalised</w:t>
            </w:r>
            <w:proofErr w:type="spellEnd"/>
            <w:r>
              <w:t xml:space="preserve"> and intuitive </w:t>
            </w:r>
            <w:proofErr w:type="spellStart"/>
            <w:r>
              <w:t>guest</w:t>
            </w:r>
            <w:proofErr w:type="spellEnd"/>
            <w:r>
              <w:t xml:space="preserve"> </w:t>
            </w:r>
            <w:proofErr w:type="spellStart"/>
            <w:r>
              <w:t>experience</w:t>
            </w:r>
            <w:proofErr w:type="spellEnd"/>
            <w:r>
              <w:t xml:space="preserve"> </w:t>
            </w:r>
            <w:proofErr w:type="spellStart"/>
            <w:r>
              <w:t>based</w:t>
            </w:r>
            <w:proofErr w:type="spellEnd"/>
            <w:r>
              <w:t xml:space="preserve"> on cultural </w:t>
            </w:r>
            <w:proofErr w:type="spellStart"/>
            <w:r>
              <w:t>empathy</w:t>
            </w:r>
            <w:proofErr w:type="spellEnd"/>
            <w:r>
              <w:t xml:space="preserve">, </w:t>
            </w:r>
            <w:proofErr w:type="spellStart"/>
            <w:r>
              <w:t>guest</w:t>
            </w:r>
            <w:proofErr w:type="spellEnd"/>
            <w:r>
              <w:t xml:space="preserve"> intelligence and an </w:t>
            </w:r>
            <w:proofErr w:type="spellStart"/>
            <w:r>
              <w:t>understanding</w:t>
            </w:r>
            <w:proofErr w:type="spellEnd"/>
            <w:r>
              <w:t xml:space="preserve"> of </w:t>
            </w:r>
            <w:proofErr w:type="spellStart"/>
            <w:r>
              <w:t>each</w:t>
            </w:r>
            <w:proofErr w:type="spellEnd"/>
            <w:r>
              <w:t xml:space="preserve"> </w:t>
            </w:r>
            <w:proofErr w:type="spellStart"/>
            <w:r>
              <w:t>individual</w:t>
            </w:r>
            <w:proofErr w:type="spellEnd"/>
            <w:r>
              <w:t xml:space="preserve"> </w:t>
            </w:r>
            <w:proofErr w:type="spellStart"/>
            <w:r>
              <w:t>guest’s</w:t>
            </w:r>
            <w:proofErr w:type="spellEnd"/>
            <w:r>
              <w:t xml:space="preserve"> </w:t>
            </w:r>
            <w:proofErr w:type="spellStart"/>
            <w:r>
              <w:t>needs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the </w:t>
            </w:r>
            <w:proofErr w:type="spellStart"/>
            <w:r>
              <w:t>role</w:t>
            </w:r>
            <w:proofErr w:type="spellEnd"/>
            <w:r>
              <w:t xml:space="preserve"> of the </w:t>
            </w:r>
            <w:proofErr w:type="spellStart"/>
            <w:r>
              <w:t>iconic</w:t>
            </w:r>
            <w:proofErr w:type="spellEnd"/>
            <w:r>
              <w:t xml:space="preserve"> Lady in </w:t>
            </w:r>
            <w:proofErr w:type="spellStart"/>
            <w:r>
              <w:t>Red</w:t>
            </w:r>
            <w:proofErr w:type="spellEnd"/>
            <w:r>
              <w:t xml:space="preserve">, a </w:t>
            </w:r>
            <w:proofErr w:type="spellStart"/>
            <w:r>
              <w:t>highly</w:t>
            </w:r>
            <w:proofErr w:type="spellEnd"/>
            <w:r>
              <w:t xml:space="preserve"> </w:t>
            </w:r>
            <w:proofErr w:type="spellStart"/>
            <w:r>
              <w:t>emblematic</w:t>
            </w:r>
            <w:proofErr w:type="spellEnd"/>
            <w:r>
              <w:t xml:space="preserve"> position </w:t>
            </w:r>
            <w:proofErr w:type="spellStart"/>
            <w:r>
              <w:t>created</w:t>
            </w:r>
            <w:proofErr w:type="spellEnd"/>
            <w:r>
              <w:t xml:space="preserve"> by </w:t>
            </w:r>
            <w:proofErr w:type="spellStart"/>
            <w:r>
              <w:t>Kempinski</w:t>
            </w:r>
            <w:proofErr w:type="spellEnd"/>
            <w:r>
              <w:t xml:space="preserve"> </w:t>
            </w:r>
            <w:proofErr w:type="spellStart"/>
            <w:r>
              <w:t>Hotels</w:t>
            </w:r>
            <w:proofErr w:type="spellEnd"/>
            <w:r>
              <w:t xml:space="preserve"> </w:t>
            </w:r>
            <w:proofErr w:type="spellStart"/>
            <w:r>
              <w:t>ten</w:t>
            </w:r>
            <w:proofErr w:type="spellEnd"/>
            <w:r>
              <w:t xml:space="preserve"> </w:t>
            </w:r>
            <w:proofErr w:type="spellStart"/>
            <w:r>
              <w:t>years</w:t>
            </w:r>
            <w:proofErr w:type="spellEnd"/>
            <w:r>
              <w:t xml:space="preserve"> back.</w:t>
            </w:r>
          </w:p>
        </w:tc>
      </w:tr>
    </w:tbl>
    <w:p w:rsidR="00DB429F" w:rsidRDefault="00DB429F" w:rsidP="00DB429F">
      <w:pPr>
        <w:pStyle w:val="Titre3"/>
        <w:spacing w:before="75" w:beforeAutospacing="0"/>
      </w:pPr>
    </w:p>
    <w:p w:rsidR="00DB429F" w:rsidRDefault="00DB429F" w:rsidP="00DB429F">
      <w:pPr>
        <w:pStyle w:val="Titre3"/>
        <w:spacing w:before="75" w:beforeAutospacing="0"/>
      </w:pPr>
      <w:r>
        <w:t>5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7"/>
        <w:gridCol w:w="45"/>
      </w:tblGrid>
      <w:tr w:rsidR="00DB429F" w:rsidTr="00DB429F">
        <w:trPr>
          <w:gridAfter w:val="1"/>
          <w:tblCellSpacing w:w="15" w:type="dxa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750" w:type="dxa"/>
            </w:tcMar>
            <w:hideMark/>
          </w:tcPr>
          <w:p w:rsidR="00DB429F" w:rsidRDefault="00DB429F">
            <w:pPr>
              <w:pStyle w:val="Titre1"/>
            </w:pPr>
            <w:proofErr w:type="spellStart"/>
            <w:r>
              <w:t>Amanpuri</w:t>
            </w:r>
            <w:proofErr w:type="spellEnd"/>
            <w:r>
              <w:t xml:space="preserve"> opens </w:t>
            </w:r>
            <w:proofErr w:type="spellStart"/>
            <w:r>
              <w:t>retail</w:t>
            </w:r>
            <w:proofErr w:type="spellEnd"/>
            <w:r>
              <w:t xml:space="preserve"> </w:t>
            </w:r>
            <w:proofErr w:type="spellStart"/>
            <w:r>
              <w:t>pavilion</w:t>
            </w:r>
            <w:proofErr w:type="spellEnd"/>
            <w:r>
              <w:t xml:space="preserve"> </w:t>
            </w:r>
            <w:proofErr w:type="spellStart"/>
            <w:r>
              <w:t>designed</w:t>
            </w:r>
            <w:proofErr w:type="spellEnd"/>
            <w:r>
              <w:t xml:space="preserve"> by </w:t>
            </w:r>
            <w:proofErr w:type="spellStart"/>
            <w:r>
              <w:t>Kengo</w:t>
            </w:r>
            <w:proofErr w:type="spellEnd"/>
            <w:r>
              <w:t xml:space="preserve"> </w:t>
            </w:r>
            <w:proofErr w:type="spellStart"/>
            <w:r>
              <w:t>Kuma</w:t>
            </w:r>
            <w:proofErr w:type="spellEnd"/>
            <w:r>
              <w:t xml:space="preserve"> (</w:t>
            </w:r>
            <w:proofErr w:type="spellStart"/>
            <w:r>
              <w:t>Thailand</w:t>
            </w:r>
            <w:proofErr w:type="spellEnd"/>
            <w:r>
              <w:t>)</w:t>
            </w:r>
          </w:p>
          <w:p w:rsidR="00DB429F" w:rsidRDefault="00DB429F"/>
        </w:tc>
      </w:tr>
      <w:tr w:rsidR="00DB429F" w:rsidTr="00DB429F">
        <w:trPr>
          <w:tblCellSpacing w:w="15" w:type="dxa"/>
        </w:trPr>
        <w:tc>
          <w:tcPr>
            <w:tcW w:w="0" w:type="auto"/>
            <w:gridSpan w:val="2"/>
            <w:tcMar>
              <w:top w:w="0" w:type="dxa"/>
              <w:left w:w="0" w:type="dxa"/>
              <w:bottom w:w="0" w:type="dxa"/>
              <w:right w:w="1050" w:type="dxa"/>
            </w:tcMar>
            <w:hideMark/>
          </w:tcPr>
          <w:p w:rsidR="00DB429F" w:rsidRDefault="00DB429F">
            <w:pPr>
              <w:pStyle w:val="Titre2"/>
            </w:pPr>
            <w:r>
              <w:t xml:space="preserve">It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fitting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Aman’s</w:t>
            </w:r>
            <w:proofErr w:type="spellEnd"/>
            <w:r>
              <w:t xml:space="preserve"> new </w:t>
            </w:r>
            <w:proofErr w:type="spellStart"/>
            <w:r>
              <w:t>retail</w:t>
            </w:r>
            <w:proofErr w:type="spellEnd"/>
            <w:r>
              <w:t xml:space="preserve"> concept </w:t>
            </w:r>
            <w:proofErr w:type="spellStart"/>
            <w:r>
              <w:t>should</w:t>
            </w:r>
            <w:proofErr w:type="spellEnd"/>
            <w:r>
              <w:t xml:space="preserve"> </w:t>
            </w:r>
            <w:proofErr w:type="spellStart"/>
            <w:r>
              <w:t>begin</w:t>
            </w:r>
            <w:proofErr w:type="spellEnd"/>
            <w:r>
              <w:t xml:space="preserve"> </w:t>
            </w:r>
            <w:proofErr w:type="spellStart"/>
            <w:r>
              <w:t>its</w:t>
            </w:r>
            <w:proofErr w:type="spellEnd"/>
            <w:r>
              <w:t xml:space="preserve"> </w:t>
            </w:r>
            <w:proofErr w:type="spellStart"/>
            <w:r>
              <w:t>journey</w:t>
            </w:r>
            <w:proofErr w:type="spellEnd"/>
            <w:r>
              <w:t xml:space="preserve"> at </w:t>
            </w:r>
            <w:proofErr w:type="spellStart"/>
            <w:r>
              <w:t>Amanpuri</w:t>
            </w:r>
            <w:proofErr w:type="spellEnd"/>
            <w:r>
              <w:t xml:space="preserve"> – the </w:t>
            </w:r>
            <w:proofErr w:type="spellStart"/>
            <w:r>
              <w:t>very</w:t>
            </w:r>
            <w:proofErr w:type="spellEnd"/>
            <w:r>
              <w:t xml:space="preserve"> first Aman </w:t>
            </w:r>
            <w:proofErr w:type="spellStart"/>
            <w:r>
              <w:t>property</w:t>
            </w:r>
            <w:proofErr w:type="spellEnd"/>
            <w:r>
              <w:t xml:space="preserve"> to open </w:t>
            </w:r>
            <w:proofErr w:type="spellStart"/>
            <w:r>
              <w:t>its</w:t>
            </w:r>
            <w:proofErr w:type="spellEnd"/>
            <w:r>
              <w:t xml:space="preserve"> </w:t>
            </w:r>
            <w:proofErr w:type="spellStart"/>
            <w:r>
              <w:t>doors</w:t>
            </w:r>
            <w:proofErr w:type="spellEnd"/>
            <w:r>
              <w:t xml:space="preserve"> on </w:t>
            </w:r>
            <w:proofErr w:type="spellStart"/>
            <w:r>
              <w:t>Phuket’s</w:t>
            </w:r>
            <w:proofErr w:type="spellEnd"/>
            <w:r>
              <w:t xml:space="preserve"> Andaman </w:t>
            </w:r>
            <w:proofErr w:type="spellStart"/>
            <w:r>
              <w:t>coastline</w:t>
            </w:r>
            <w:proofErr w:type="spellEnd"/>
            <w:r>
              <w:t xml:space="preserve"> 32 </w:t>
            </w:r>
            <w:proofErr w:type="spellStart"/>
            <w:r>
              <w:t>years</w:t>
            </w:r>
            <w:proofErr w:type="spellEnd"/>
            <w:r>
              <w:t xml:space="preserve"> </w:t>
            </w:r>
            <w:proofErr w:type="spellStart"/>
            <w:r>
              <w:t>ago</w:t>
            </w:r>
            <w:proofErr w:type="spellEnd"/>
            <w:r>
              <w:t>.</w:t>
            </w:r>
          </w:p>
        </w:tc>
      </w:tr>
    </w:tbl>
    <w:p w:rsidR="00DB429F" w:rsidRDefault="00DB429F" w:rsidP="00DB429F">
      <w:pPr>
        <w:pStyle w:val="Titre3"/>
        <w:spacing w:before="75" w:beforeAutospacing="0"/>
      </w:pPr>
    </w:p>
    <w:p w:rsidR="00DB429F" w:rsidRDefault="00DB429F" w:rsidP="00DB429F">
      <w:pPr>
        <w:pStyle w:val="Titre3"/>
        <w:spacing w:before="75" w:beforeAutospacing="0"/>
      </w:pPr>
      <w:r>
        <w:t>6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7"/>
        <w:gridCol w:w="45"/>
      </w:tblGrid>
      <w:tr w:rsidR="00DB429F" w:rsidTr="00DB429F">
        <w:trPr>
          <w:gridAfter w:val="1"/>
          <w:tblCellSpacing w:w="15" w:type="dxa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750" w:type="dxa"/>
            </w:tcMar>
            <w:hideMark/>
          </w:tcPr>
          <w:p w:rsidR="00DB429F" w:rsidRDefault="00DB429F">
            <w:pPr>
              <w:pStyle w:val="Titre1"/>
            </w:pPr>
            <w:r>
              <w:t xml:space="preserve">The </w:t>
            </w:r>
            <w:proofErr w:type="spellStart"/>
            <w:r>
              <w:t>Castell</w:t>
            </w:r>
            <w:proofErr w:type="spellEnd"/>
            <w:r>
              <w:t xml:space="preserve"> Project, Inc. </w:t>
            </w:r>
            <w:proofErr w:type="spellStart"/>
            <w:r>
              <w:t>accepting</w:t>
            </w:r>
            <w:proofErr w:type="spellEnd"/>
            <w:r>
              <w:t xml:space="preserve"> 2020 nominations for </w:t>
            </w:r>
            <w:proofErr w:type="spellStart"/>
            <w:r>
              <w:t>expanded</w:t>
            </w:r>
            <w:proofErr w:type="spellEnd"/>
            <w:r>
              <w:t xml:space="preserve"> Leadership Programs </w:t>
            </w:r>
          </w:p>
          <w:p w:rsidR="00DB429F" w:rsidRDefault="00DB429F"/>
        </w:tc>
      </w:tr>
      <w:tr w:rsidR="00DB429F" w:rsidTr="00DB429F">
        <w:trPr>
          <w:tblCellSpacing w:w="15" w:type="dxa"/>
        </w:trPr>
        <w:tc>
          <w:tcPr>
            <w:tcW w:w="0" w:type="auto"/>
            <w:gridSpan w:val="2"/>
            <w:tcMar>
              <w:top w:w="0" w:type="dxa"/>
              <w:left w:w="0" w:type="dxa"/>
              <w:bottom w:w="0" w:type="dxa"/>
              <w:right w:w="1050" w:type="dxa"/>
            </w:tcMar>
            <w:hideMark/>
          </w:tcPr>
          <w:p w:rsidR="00DB429F" w:rsidRDefault="00DB429F">
            <w:pPr>
              <w:pStyle w:val="Titre2"/>
            </w:pPr>
            <w:r>
              <w:t xml:space="preserve">Non-Profit </w:t>
            </w:r>
            <w:proofErr w:type="spellStart"/>
            <w:r>
              <w:t>Organization</w:t>
            </w:r>
            <w:proofErr w:type="spellEnd"/>
            <w:r>
              <w:t xml:space="preserve"> </w:t>
            </w:r>
            <w:proofErr w:type="spellStart"/>
            <w:r>
              <w:t>Adds</w:t>
            </w:r>
            <w:proofErr w:type="spellEnd"/>
            <w:r>
              <w:t xml:space="preserve"> to </w:t>
            </w:r>
            <w:proofErr w:type="spellStart"/>
            <w:r>
              <w:t>its</w:t>
            </w:r>
            <w:proofErr w:type="spellEnd"/>
            <w:r>
              <w:t xml:space="preserve"> </w:t>
            </w:r>
            <w:proofErr w:type="spellStart"/>
            <w:r>
              <w:t>Educational</w:t>
            </w:r>
            <w:proofErr w:type="spellEnd"/>
            <w:r>
              <w:t xml:space="preserve"> </w:t>
            </w:r>
            <w:proofErr w:type="spellStart"/>
            <w:r>
              <w:t>Platforms</w:t>
            </w:r>
            <w:proofErr w:type="spellEnd"/>
            <w:r>
              <w:t xml:space="preserve"> to </w:t>
            </w:r>
            <w:proofErr w:type="spellStart"/>
            <w:r>
              <w:t>Meet</w:t>
            </w:r>
            <w:proofErr w:type="spellEnd"/>
            <w:r>
              <w:t xml:space="preserve"> </w:t>
            </w:r>
            <w:proofErr w:type="spellStart"/>
            <w:r>
              <w:t>Needs</w:t>
            </w:r>
            <w:proofErr w:type="spellEnd"/>
            <w:r>
              <w:t xml:space="preserve"> of More Participants</w:t>
            </w:r>
          </w:p>
          <w:p w:rsidR="00DB429F" w:rsidRDefault="00DB429F">
            <w:r>
              <w:br/>
            </w:r>
            <w:proofErr w:type="spellStart"/>
            <w:r>
              <w:t>Officials</w:t>
            </w:r>
            <w:proofErr w:type="spellEnd"/>
            <w:r>
              <w:t xml:space="preserve"> of </w:t>
            </w:r>
            <w:proofErr w:type="spellStart"/>
            <w:r>
              <w:t>Castell</w:t>
            </w:r>
            <w:proofErr w:type="spellEnd"/>
            <w:r>
              <w:t xml:space="preserve"> Project, Inc., a 501(c)3 </w:t>
            </w:r>
            <w:proofErr w:type="spellStart"/>
            <w:r>
              <w:t>nonprofit</w:t>
            </w:r>
            <w:proofErr w:type="spellEnd"/>
            <w:r>
              <w:t xml:space="preserve"> </w:t>
            </w:r>
            <w:proofErr w:type="spellStart"/>
            <w:r>
              <w:t>organization</w:t>
            </w:r>
            <w:proofErr w:type="spellEnd"/>
            <w:r>
              <w:t xml:space="preserve"> </w:t>
            </w:r>
            <w:proofErr w:type="spellStart"/>
            <w:r>
              <w:t>dedicated</w:t>
            </w:r>
            <w:proofErr w:type="spellEnd"/>
            <w:r>
              <w:t xml:space="preserve"> to </w:t>
            </w:r>
            <w:proofErr w:type="spellStart"/>
            <w:r>
              <w:t>accelerating</w:t>
            </w:r>
            <w:proofErr w:type="spellEnd"/>
            <w:r>
              <w:t xml:space="preserve"> the </w:t>
            </w:r>
            <w:proofErr w:type="spellStart"/>
            <w:r>
              <w:t>careers</w:t>
            </w:r>
            <w:proofErr w:type="spellEnd"/>
            <w:r>
              <w:t xml:space="preserve"> of </w:t>
            </w:r>
            <w:proofErr w:type="spellStart"/>
            <w:r>
              <w:t>women</w:t>
            </w:r>
            <w:proofErr w:type="spellEnd"/>
            <w:r>
              <w:t xml:space="preserve"> </w:t>
            </w:r>
            <w:proofErr w:type="spellStart"/>
            <w:r>
              <w:t>professionals</w:t>
            </w:r>
            <w:proofErr w:type="spellEnd"/>
            <w:r>
              <w:t xml:space="preserve"> in the </w:t>
            </w:r>
            <w:proofErr w:type="spellStart"/>
            <w:r>
              <w:t>hospitality</w:t>
            </w:r>
            <w:proofErr w:type="spellEnd"/>
            <w:r>
              <w:t xml:space="preserve"> </w:t>
            </w:r>
            <w:proofErr w:type="spellStart"/>
            <w:r>
              <w:t>industry</w:t>
            </w:r>
            <w:proofErr w:type="spellEnd"/>
            <w:r>
              <w:t xml:space="preserve">, </w:t>
            </w:r>
            <w:proofErr w:type="spellStart"/>
            <w:r>
              <w:t>today</w:t>
            </w:r>
            <w:proofErr w:type="spellEnd"/>
            <w:r>
              <w:t xml:space="preserve"> </w:t>
            </w:r>
            <w:proofErr w:type="spellStart"/>
            <w:r>
              <w:t>announced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the </w:t>
            </w:r>
            <w:proofErr w:type="spellStart"/>
            <w:r>
              <w:t>organization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accepting</w:t>
            </w:r>
            <w:proofErr w:type="spellEnd"/>
            <w:r>
              <w:t xml:space="preserve"> nominations for </w:t>
            </w:r>
            <w:proofErr w:type="spellStart"/>
            <w:r>
              <w:t>its</w:t>
            </w:r>
            <w:proofErr w:type="spellEnd"/>
            <w:r>
              <w:t xml:space="preserve"> </w:t>
            </w:r>
            <w:proofErr w:type="spellStart"/>
            <w:r>
              <w:t>expanded</w:t>
            </w:r>
            <w:proofErr w:type="spellEnd"/>
            <w:r>
              <w:t xml:space="preserve"> 2020 </w:t>
            </w:r>
            <w:proofErr w:type="spellStart"/>
            <w:r>
              <w:t>Castell</w:t>
            </w:r>
            <w:proofErr w:type="spellEnd"/>
            <w:r>
              <w:t xml:space="preserve"> Leadership Programs.</w:t>
            </w:r>
          </w:p>
        </w:tc>
      </w:tr>
    </w:tbl>
    <w:p w:rsidR="00DB429F" w:rsidRDefault="00DB429F" w:rsidP="00DB429F">
      <w:pPr>
        <w:pStyle w:val="Titre3"/>
        <w:spacing w:before="75" w:beforeAutospacing="0"/>
      </w:pPr>
      <w:r>
        <w:lastRenderedPageBreak/>
        <w:t>7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7"/>
        <w:gridCol w:w="45"/>
      </w:tblGrid>
      <w:tr w:rsidR="00DB429F" w:rsidTr="00DB429F">
        <w:trPr>
          <w:gridAfter w:val="1"/>
          <w:tblCellSpacing w:w="15" w:type="dxa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750" w:type="dxa"/>
            </w:tcMar>
            <w:hideMark/>
          </w:tcPr>
          <w:p w:rsidR="00DB429F" w:rsidRDefault="00DB429F">
            <w:pPr>
              <w:pStyle w:val="Titre1"/>
            </w:pPr>
            <w:r>
              <w:t xml:space="preserve">Ouverture officielle du </w:t>
            </w:r>
            <w:proofErr w:type="spellStart"/>
            <w:r>
              <w:t>Hyatt</w:t>
            </w:r>
            <w:proofErr w:type="spellEnd"/>
            <w:r>
              <w:t xml:space="preserve"> Regency Manchester et du </w:t>
            </w:r>
            <w:proofErr w:type="spellStart"/>
            <w:r>
              <w:t>Hyatt</w:t>
            </w:r>
            <w:proofErr w:type="spellEnd"/>
            <w:r>
              <w:t xml:space="preserve"> House Manchester (Royaume-Uni)</w:t>
            </w:r>
          </w:p>
          <w:p w:rsidR="00DB429F" w:rsidRDefault="00DB429F"/>
        </w:tc>
      </w:tr>
      <w:tr w:rsidR="00DB429F" w:rsidTr="00DB429F">
        <w:trPr>
          <w:tblCellSpacing w:w="15" w:type="dxa"/>
        </w:trPr>
        <w:tc>
          <w:tcPr>
            <w:tcW w:w="0" w:type="auto"/>
            <w:gridSpan w:val="2"/>
            <w:tcMar>
              <w:top w:w="0" w:type="dxa"/>
              <w:left w:w="0" w:type="dxa"/>
              <w:bottom w:w="0" w:type="dxa"/>
              <w:right w:w="1050" w:type="dxa"/>
            </w:tcMar>
            <w:hideMark/>
          </w:tcPr>
          <w:p w:rsidR="00DB429F" w:rsidRDefault="00DB429F">
            <w:pPr>
              <w:pStyle w:val="Titre2"/>
            </w:pPr>
            <w:proofErr w:type="spellStart"/>
            <w:r>
              <w:t>Hyatt</w:t>
            </w:r>
            <w:proofErr w:type="spellEnd"/>
            <w:r>
              <w:t xml:space="preserve"> </w:t>
            </w:r>
            <w:proofErr w:type="spellStart"/>
            <w:r>
              <w:t>Hotels</w:t>
            </w:r>
            <w:proofErr w:type="spellEnd"/>
            <w:r>
              <w:t xml:space="preserve"> Corporation (NYSE : H) a annoncé aujourd'hui l'ouverture du </w:t>
            </w:r>
            <w:proofErr w:type="spellStart"/>
            <w:r>
              <w:t>Hyatt</w:t>
            </w:r>
            <w:proofErr w:type="spellEnd"/>
            <w:r>
              <w:t xml:space="preserve"> Regency Manchester de 212 chambres et du </w:t>
            </w:r>
            <w:proofErr w:type="spellStart"/>
            <w:r>
              <w:t>Hyatt</w:t>
            </w:r>
            <w:proofErr w:type="spellEnd"/>
            <w:r>
              <w:t xml:space="preserve"> House Manchester de 116 chambres dans le bâtiment emblématique de la ville, " The </w:t>
            </w:r>
            <w:proofErr w:type="spellStart"/>
            <w:r>
              <w:t>Lume</w:t>
            </w:r>
            <w:proofErr w:type="spellEnd"/>
            <w:r>
              <w:t xml:space="preserve"> ".</w:t>
            </w:r>
          </w:p>
          <w:p w:rsidR="00DB429F" w:rsidRDefault="00DB429F" w:rsidP="00DB429F">
            <w:pPr>
              <w:pStyle w:val="NormalWeb"/>
            </w:pPr>
            <w:r>
              <w:t xml:space="preserve">L'ouverture marque les deux premiers hôtels de la marque </w:t>
            </w:r>
            <w:proofErr w:type="spellStart"/>
            <w:r>
              <w:t>Hyatt</w:t>
            </w:r>
            <w:proofErr w:type="spellEnd"/>
            <w:r>
              <w:t xml:space="preserve"> dans la ville, et le début de la marque </w:t>
            </w:r>
            <w:proofErr w:type="spellStart"/>
            <w:r>
              <w:t>Hyatt</w:t>
            </w:r>
            <w:proofErr w:type="spellEnd"/>
            <w:r>
              <w:t xml:space="preserve"> House au Royaume-Uni </w:t>
            </w:r>
            <w:r>
              <w:br/>
              <w:t xml:space="preserve">Crédit photo © </w:t>
            </w:r>
            <w:proofErr w:type="spellStart"/>
            <w:r>
              <w:t>Hyatt</w:t>
            </w:r>
            <w:proofErr w:type="spellEnd"/>
            <w:r>
              <w:t xml:space="preserve"> </w:t>
            </w:r>
            <w:proofErr w:type="spellStart"/>
            <w:r>
              <w:t>Hotels</w:t>
            </w:r>
            <w:proofErr w:type="spellEnd"/>
            <w:r>
              <w:t xml:space="preserve"> Corporation</w:t>
            </w:r>
          </w:p>
          <w:p w:rsidR="00DB429F" w:rsidRDefault="00DB429F"/>
        </w:tc>
      </w:tr>
    </w:tbl>
    <w:p w:rsidR="00DB429F" w:rsidRDefault="00DB429F" w:rsidP="00DB429F">
      <w:pPr>
        <w:pStyle w:val="Titre3"/>
        <w:spacing w:before="75" w:beforeAutospacing="0"/>
      </w:pPr>
      <w:r>
        <w:t>8</w:t>
      </w:r>
    </w:p>
    <w:p w:rsidR="00DB429F" w:rsidRDefault="00DB429F" w:rsidP="00DB429F">
      <w:pPr>
        <w:pStyle w:val="Titre2"/>
      </w:pPr>
      <w:hyperlink r:id="rId5" w:history="1">
        <w:r>
          <w:rPr>
            <w:rStyle w:val="Lienhypertexte"/>
          </w:rPr>
          <w:t xml:space="preserve">Christophe </w:t>
        </w:r>
        <w:proofErr w:type="spellStart"/>
        <w:r>
          <w:rPr>
            <w:rStyle w:val="Lienhypertexte"/>
          </w:rPr>
          <w:t>Raoux</w:t>
        </w:r>
        <w:proofErr w:type="spellEnd"/>
        <w:r>
          <w:rPr>
            <w:rStyle w:val="Lienhypertexte"/>
          </w:rPr>
          <w:t xml:space="preserve"> nommé chef exécutif de l'École Ducasse – Paris Campus</w:t>
        </w:r>
      </w:hyperlink>
    </w:p>
    <w:p w:rsidR="00DB429F" w:rsidRDefault="00DB429F" w:rsidP="00DB429F">
      <w:pPr>
        <w:pStyle w:val="Titre3"/>
        <w:spacing w:before="75" w:beforeAutospacing="0"/>
      </w:pPr>
      <w:r>
        <w:t xml:space="preserve">Christophe </w:t>
      </w:r>
      <w:proofErr w:type="spellStart"/>
      <w:r>
        <w:t>Raoux</w:t>
      </w:r>
      <w:proofErr w:type="spellEnd"/>
      <w:r>
        <w:t xml:space="preserve"> est nommé Chef Exécutif de l’École Ducasse – Paris Campus, école de référence et de réputation mondiale dans les arts culinaires. A compter du 1er Mars 2020 il pilotera l’ensemble de l’activité d’enseignement des Arts Culinaires du Centre de Formation Alain Ducasse à Argenteuil, puis conduira cette activité au sein du tout </w:t>
      </w:r>
      <w:proofErr w:type="spellStart"/>
      <w:r>
        <w:t>nouve</w:t>
      </w:r>
      <w:proofErr w:type="spellEnd"/>
      <w:r>
        <w:t>...</w:t>
      </w:r>
    </w:p>
    <w:p w:rsidR="00DB429F" w:rsidRDefault="00DB429F" w:rsidP="00DB429F">
      <w:pPr>
        <w:pStyle w:val="Titre3"/>
        <w:spacing w:before="75" w:beforeAutospacing="0"/>
      </w:pPr>
      <w:r>
        <w:t>9</w:t>
      </w:r>
    </w:p>
    <w:p w:rsidR="00DB429F" w:rsidRDefault="00DB429F" w:rsidP="00DB429F">
      <w:pPr>
        <w:pStyle w:val="Titre3"/>
        <w:spacing w:before="75"/>
      </w:pPr>
      <w:proofErr w:type="spellStart"/>
      <w:r>
        <w:t>Gallivanter's</w:t>
      </w:r>
      <w:proofErr w:type="spellEnd"/>
      <w:r>
        <w:t xml:space="preserve"> Guide </w:t>
      </w:r>
      <w:proofErr w:type="gramStart"/>
      <w:r>
        <w:t>2019:</w:t>
      </w:r>
      <w:proofErr w:type="gramEnd"/>
      <w:r>
        <w:t xml:space="preserve"> Four </w:t>
      </w:r>
      <w:proofErr w:type="spellStart"/>
      <w:r>
        <w:t>Seasons</w:t>
      </w:r>
      <w:proofErr w:type="spellEnd"/>
      <w:r>
        <w:t xml:space="preserve"> </w:t>
      </w:r>
      <w:proofErr w:type="spellStart"/>
      <w:r>
        <w:t>Hotel</w:t>
      </w:r>
      <w:proofErr w:type="spellEnd"/>
      <w:r>
        <w:t xml:space="preserve"> George V, Paris </w:t>
      </w:r>
      <w:proofErr w:type="spellStart"/>
      <w:r>
        <w:t>voted</w:t>
      </w:r>
      <w:proofErr w:type="spellEnd"/>
      <w:r>
        <w:t xml:space="preserve"> Best City </w:t>
      </w:r>
      <w:proofErr w:type="spellStart"/>
      <w:r>
        <w:t>Hotel</w:t>
      </w:r>
      <w:proofErr w:type="spellEnd"/>
      <w:r>
        <w:t xml:space="preserve"> Worldwide for the 16th time (France)</w:t>
      </w:r>
    </w:p>
    <w:p w:rsidR="00DB429F" w:rsidRDefault="00DB429F" w:rsidP="00DB429F">
      <w:pPr>
        <w:pStyle w:val="Titre3"/>
        <w:spacing w:before="75"/>
      </w:pPr>
      <w:proofErr w:type="spellStart"/>
      <w:r>
        <w:t>Every</w:t>
      </w:r>
      <w:proofErr w:type="spellEnd"/>
      <w:r>
        <w:t xml:space="preserve"> </w:t>
      </w:r>
      <w:proofErr w:type="spellStart"/>
      <w:r>
        <w:t>year</w:t>
      </w:r>
      <w:proofErr w:type="spellEnd"/>
      <w:r>
        <w:t xml:space="preserve">, the </w:t>
      </w:r>
      <w:proofErr w:type="spellStart"/>
      <w:r>
        <w:t>famous</w:t>
      </w:r>
      <w:proofErr w:type="spellEnd"/>
      <w:r>
        <w:t xml:space="preserve"> British </w:t>
      </w:r>
      <w:proofErr w:type="spellStart"/>
      <w:r>
        <w:t>Gallivanter’s</w:t>
      </w:r>
      <w:proofErr w:type="spellEnd"/>
      <w:r>
        <w:t xml:space="preserve"> Guide </w:t>
      </w:r>
      <w:proofErr w:type="spellStart"/>
      <w:r>
        <w:t>publishes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ranking</w:t>
      </w:r>
      <w:proofErr w:type="spellEnd"/>
      <w:r>
        <w:t xml:space="preserve"> of the Best </w:t>
      </w:r>
      <w:proofErr w:type="spellStart"/>
      <w:r>
        <w:t>Hotels</w:t>
      </w:r>
      <w:proofErr w:type="spellEnd"/>
      <w:r>
        <w:t xml:space="preserve"> in the World.</w:t>
      </w:r>
    </w:p>
    <w:p w:rsidR="00DB429F" w:rsidRDefault="00DB429F" w:rsidP="00DB429F">
      <w:pPr>
        <w:pStyle w:val="Titre3"/>
        <w:spacing w:before="75"/>
      </w:pPr>
      <w:proofErr w:type="spellStart"/>
      <w:r>
        <w:t>Gallivanter’s</w:t>
      </w:r>
      <w:proofErr w:type="spellEnd"/>
      <w:r>
        <w:t xml:space="preserve"> Guide </w:t>
      </w:r>
      <w:proofErr w:type="gramStart"/>
      <w:r>
        <w:t>2019:</w:t>
      </w:r>
      <w:proofErr w:type="gramEnd"/>
      <w:r>
        <w:t xml:space="preserve"> Four </w:t>
      </w:r>
      <w:proofErr w:type="spellStart"/>
      <w:r>
        <w:t>Seasons</w:t>
      </w:r>
      <w:proofErr w:type="spellEnd"/>
      <w:r>
        <w:t xml:space="preserve"> </w:t>
      </w:r>
      <w:proofErr w:type="spellStart"/>
      <w:r>
        <w:t>Hotel</w:t>
      </w:r>
      <w:proofErr w:type="spellEnd"/>
      <w:r>
        <w:t xml:space="preserve"> George V, Paris </w:t>
      </w:r>
      <w:proofErr w:type="spellStart"/>
      <w:r>
        <w:t>Voted</w:t>
      </w:r>
      <w:proofErr w:type="spellEnd"/>
      <w:r>
        <w:t xml:space="preserve"> Best City </w:t>
      </w:r>
      <w:proofErr w:type="spellStart"/>
      <w:r>
        <w:t>Hotel</w:t>
      </w:r>
      <w:proofErr w:type="spellEnd"/>
      <w:r>
        <w:t xml:space="preserve"> Worldwide For The 16th Time</w:t>
      </w:r>
    </w:p>
    <w:p w:rsidR="00DB429F" w:rsidRDefault="00DB429F" w:rsidP="00DB429F">
      <w:pPr>
        <w:pStyle w:val="Titre3"/>
        <w:spacing w:before="75" w:beforeAutospacing="0"/>
      </w:pPr>
      <w:r>
        <w:t xml:space="preserve">The </w:t>
      </w:r>
      <w:proofErr w:type="spellStart"/>
      <w:r>
        <w:t>results</w:t>
      </w:r>
      <w:proofErr w:type="spellEnd"/>
      <w:r>
        <w:t xml:space="preserve"> for 2019 have </w:t>
      </w:r>
      <w:proofErr w:type="spellStart"/>
      <w:r>
        <w:t>just</w:t>
      </w:r>
      <w:proofErr w:type="spellEnd"/>
      <w:r>
        <w:t xml:space="preserve"> been </w:t>
      </w:r>
      <w:proofErr w:type="spellStart"/>
      <w:r>
        <w:t>revealed</w:t>
      </w:r>
      <w:proofErr w:type="spellEnd"/>
      <w:r>
        <w:t xml:space="preserve">, </w:t>
      </w:r>
      <w:proofErr w:type="spellStart"/>
      <w:r>
        <w:t>distinguishing</w:t>
      </w:r>
      <w:proofErr w:type="spellEnd"/>
      <w:r>
        <w:t xml:space="preserve"> Four </w:t>
      </w:r>
      <w:proofErr w:type="spellStart"/>
      <w:r>
        <w:t>Seasons</w:t>
      </w:r>
      <w:proofErr w:type="spellEnd"/>
      <w:r>
        <w:t xml:space="preserve"> </w:t>
      </w:r>
      <w:proofErr w:type="spellStart"/>
      <w:r>
        <w:t>Hotel</w:t>
      </w:r>
      <w:proofErr w:type="spellEnd"/>
      <w:r>
        <w:t xml:space="preserve"> George V, Paris in </w:t>
      </w:r>
      <w:proofErr w:type="spellStart"/>
      <w:r>
        <w:t>two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proofErr w:type="gramStart"/>
      <w:r>
        <w:t>categories</w:t>
      </w:r>
      <w:proofErr w:type="spellEnd"/>
      <w:r>
        <w:t>:</w:t>
      </w:r>
      <w:proofErr w:type="gramEnd"/>
    </w:p>
    <w:p w:rsidR="00DB429F" w:rsidRDefault="00DB429F" w:rsidP="00DB429F">
      <w:pPr>
        <w:pStyle w:val="Titre3"/>
        <w:spacing w:before="75" w:beforeAutospacing="0"/>
      </w:pPr>
      <w:r>
        <w:lastRenderedPageBreak/>
        <w:t>10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7"/>
        <w:gridCol w:w="45"/>
      </w:tblGrid>
      <w:tr w:rsidR="00DB429F" w:rsidTr="00DB429F">
        <w:trPr>
          <w:gridAfter w:val="1"/>
          <w:tblCellSpacing w:w="15" w:type="dxa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750" w:type="dxa"/>
            </w:tcMar>
            <w:hideMark/>
          </w:tcPr>
          <w:p w:rsidR="00DB429F" w:rsidRDefault="00DB429F">
            <w:pPr>
              <w:pStyle w:val="Titre1"/>
            </w:pPr>
            <w:proofErr w:type="spellStart"/>
            <w:r>
              <w:t>Tanah</w:t>
            </w:r>
            <w:proofErr w:type="spellEnd"/>
            <w:r>
              <w:t xml:space="preserve"> </w:t>
            </w:r>
            <w:proofErr w:type="spellStart"/>
            <w:r>
              <w:t>Gajah</w:t>
            </w:r>
            <w:proofErr w:type="spellEnd"/>
            <w:r>
              <w:t xml:space="preserve">, a </w:t>
            </w:r>
            <w:proofErr w:type="spellStart"/>
            <w:r>
              <w:t>resort</w:t>
            </w:r>
            <w:proofErr w:type="spellEnd"/>
            <w:r>
              <w:t xml:space="preserve"> by </w:t>
            </w:r>
            <w:proofErr w:type="spellStart"/>
            <w:r>
              <w:t>Hadiprana</w:t>
            </w:r>
            <w:proofErr w:type="spellEnd"/>
            <w:r>
              <w:t xml:space="preserve">, </w:t>
            </w:r>
            <w:proofErr w:type="spellStart"/>
            <w:r>
              <w:t>launches</w:t>
            </w:r>
            <w:proofErr w:type="spellEnd"/>
            <w:r>
              <w:t xml:space="preserve"> </w:t>
            </w:r>
            <w:proofErr w:type="spellStart"/>
            <w:r>
              <w:t>in</w:t>
            </w:r>
            <w:proofErr w:type="spellEnd"/>
            <w:r>
              <w:t xml:space="preserve"> 2020 (</w:t>
            </w:r>
            <w:proofErr w:type="spellStart"/>
            <w:r>
              <w:t>Indonesia</w:t>
            </w:r>
            <w:proofErr w:type="spellEnd"/>
            <w:r>
              <w:t>)</w:t>
            </w:r>
          </w:p>
          <w:p w:rsidR="00DB429F" w:rsidRDefault="00DB429F"/>
        </w:tc>
      </w:tr>
      <w:tr w:rsidR="00DB429F" w:rsidTr="00DB429F">
        <w:trPr>
          <w:tblCellSpacing w:w="15" w:type="dxa"/>
        </w:trPr>
        <w:tc>
          <w:tcPr>
            <w:tcW w:w="0" w:type="auto"/>
            <w:gridSpan w:val="2"/>
            <w:tcMar>
              <w:top w:w="0" w:type="dxa"/>
              <w:left w:w="0" w:type="dxa"/>
              <w:bottom w:w="0" w:type="dxa"/>
              <w:right w:w="1050" w:type="dxa"/>
            </w:tcMar>
            <w:hideMark/>
          </w:tcPr>
          <w:p w:rsidR="00DB429F" w:rsidRDefault="00DB429F">
            <w:pPr>
              <w:pStyle w:val="Titre2"/>
            </w:pPr>
            <w:r>
              <w:t xml:space="preserve">This </w:t>
            </w:r>
            <w:proofErr w:type="spellStart"/>
            <w:r>
              <w:t>month</w:t>
            </w:r>
            <w:proofErr w:type="spellEnd"/>
            <w:r>
              <w:t xml:space="preserve"> </w:t>
            </w:r>
            <w:proofErr w:type="spellStart"/>
            <w:r>
              <w:t>after</w:t>
            </w:r>
            <w:proofErr w:type="spellEnd"/>
            <w:r>
              <w:t xml:space="preserve"> </w:t>
            </w:r>
            <w:proofErr w:type="spellStart"/>
            <w:r>
              <w:t>nearly</w:t>
            </w:r>
            <w:proofErr w:type="spellEnd"/>
            <w:r>
              <w:t xml:space="preserve"> </w:t>
            </w:r>
            <w:proofErr w:type="spellStart"/>
            <w:r>
              <w:t>two</w:t>
            </w:r>
            <w:proofErr w:type="spellEnd"/>
            <w:r>
              <w:t xml:space="preserve"> </w:t>
            </w:r>
            <w:proofErr w:type="spellStart"/>
            <w:r>
              <w:t>decades</w:t>
            </w:r>
            <w:proofErr w:type="spellEnd"/>
            <w:r>
              <w:t xml:space="preserve"> </w:t>
            </w:r>
            <w:proofErr w:type="spellStart"/>
            <w:r>
              <w:t>under</w:t>
            </w:r>
            <w:proofErr w:type="spellEnd"/>
            <w:r>
              <w:t xml:space="preserve"> management by GHM, the once </w:t>
            </w:r>
            <w:proofErr w:type="spellStart"/>
            <w:r>
              <w:t>private</w:t>
            </w:r>
            <w:proofErr w:type="spellEnd"/>
            <w:r>
              <w:t xml:space="preserve"> </w:t>
            </w:r>
            <w:proofErr w:type="spellStart"/>
            <w:r>
              <w:t>family</w:t>
            </w:r>
            <w:proofErr w:type="spellEnd"/>
            <w:r>
              <w:t xml:space="preserve"> </w:t>
            </w:r>
            <w:proofErr w:type="spellStart"/>
            <w:r>
              <w:t>estate</w:t>
            </w:r>
            <w:proofErr w:type="spellEnd"/>
            <w:r>
              <w:t xml:space="preserve"> of </w:t>
            </w:r>
            <w:proofErr w:type="spellStart"/>
            <w:r>
              <w:t>noted</w:t>
            </w:r>
            <w:proofErr w:type="spellEnd"/>
            <w:r>
              <w:t xml:space="preserve"> </w:t>
            </w:r>
            <w:proofErr w:type="spellStart"/>
            <w:r>
              <w:t>Indonesian</w:t>
            </w:r>
            <w:proofErr w:type="spellEnd"/>
            <w:r>
              <w:t xml:space="preserve"> </w:t>
            </w:r>
            <w:proofErr w:type="spellStart"/>
            <w:r>
              <w:t>architect</w:t>
            </w:r>
            <w:proofErr w:type="spellEnd"/>
            <w:r>
              <w:t xml:space="preserve"> </w:t>
            </w:r>
            <w:proofErr w:type="spellStart"/>
            <w:r>
              <w:t>Hendra</w:t>
            </w:r>
            <w:proofErr w:type="spellEnd"/>
            <w:r>
              <w:t xml:space="preserve"> </w:t>
            </w:r>
            <w:proofErr w:type="spellStart"/>
            <w:r>
              <w:t>Hadiprana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returning</w:t>
            </w:r>
            <w:proofErr w:type="spellEnd"/>
            <w:r>
              <w:t xml:space="preserve"> to </w:t>
            </w:r>
            <w:proofErr w:type="spellStart"/>
            <w:r>
              <w:t>its</w:t>
            </w:r>
            <w:proofErr w:type="spellEnd"/>
            <w:r>
              <w:t xml:space="preserve"> </w:t>
            </w:r>
            <w:proofErr w:type="spellStart"/>
            <w:r>
              <w:t>roots</w:t>
            </w:r>
            <w:proofErr w:type="spellEnd"/>
            <w:r>
              <w:t xml:space="preserve"> and </w:t>
            </w:r>
            <w:proofErr w:type="spellStart"/>
            <w:r>
              <w:t>relaunching</w:t>
            </w:r>
            <w:proofErr w:type="spellEnd"/>
            <w:r>
              <w:t xml:space="preserve"> as </w:t>
            </w:r>
            <w:proofErr w:type="spellStart"/>
            <w:r>
              <w:t>Tanah</w:t>
            </w:r>
            <w:proofErr w:type="spellEnd"/>
            <w:r>
              <w:t xml:space="preserve"> </w:t>
            </w:r>
            <w:proofErr w:type="spellStart"/>
            <w:r>
              <w:t>Gajah</w:t>
            </w:r>
            <w:proofErr w:type="spellEnd"/>
            <w:r>
              <w:t xml:space="preserve">, a </w:t>
            </w:r>
            <w:proofErr w:type="spellStart"/>
            <w:r>
              <w:t>resort</w:t>
            </w:r>
            <w:proofErr w:type="spellEnd"/>
            <w:r>
              <w:t xml:space="preserve"> by </w:t>
            </w:r>
            <w:proofErr w:type="spellStart"/>
            <w:r>
              <w:t>Hadiprana</w:t>
            </w:r>
            <w:proofErr w:type="spellEnd"/>
            <w:r>
              <w:t xml:space="preserve">. </w:t>
            </w:r>
          </w:p>
          <w:p w:rsidR="00E2126E" w:rsidRDefault="00E2126E">
            <w:pPr>
              <w:pStyle w:val="Titre2"/>
            </w:pPr>
          </w:p>
        </w:tc>
      </w:tr>
    </w:tbl>
    <w:p w:rsidR="00DB429F" w:rsidRDefault="00E2126E" w:rsidP="00DB429F">
      <w:pPr>
        <w:pStyle w:val="Titre3"/>
        <w:spacing w:before="75" w:beforeAutospacing="0"/>
      </w:pPr>
      <w:r>
        <w:t>11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7"/>
        <w:gridCol w:w="45"/>
      </w:tblGrid>
      <w:tr w:rsidR="00E2126E" w:rsidTr="00E2126E">
        <w:trPr>
          <w:gridAfter w:val="1"/>
          <w:tblCellSpacing w:w="15" w:type="dxa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750" w:type="dxa"/>
            </w:tcMar>
            <w:hideMark/>
          </w:tcPr>
          <w:p w:rsidR="00E2126E" w:rsidRDefault="00E2126E">
            <w:pPr>
              <w:pStyle w:val="Titre1"/>
            </w:pPr>
            <w:r>
              <w:t xml:space="preserve">The </w:t>
            </w:r>
            <w:proofErr w:type="spellStart"/>
            <w:r>
              <w:t>Anam</w:t>
            </w:r>
            <w:proofErr w:type="spellEnd"/>
            <w:r>
              <w:t xml:space="preserve"> Spa </w:t>
            </w:r>
            <w:proofErr w:type="spellStart"/>
            <w:r>
              <w:t>introduces</w:t>
            </w:r>
            <w:proofErr w:type="spellEnd"/>
            <w:r>
              <w:t xml:space="preserve"> </w:t>
            </w:r>
            <w:proofErr w:type="spellStart"/>
            <w:r>
              <w:t>vietnamese</w:t>
            </w:r>
            <w:proofErr w:type="spellEnd"/>
            <w:r>
              <w:t xml:space="preserve"> zodiac spa </w:t>
            </w:r>
            <w:proofErr w:type="spellStart"/>
            <w:r>
              <w:t>journeys</w:t>
            </w:r>
            <w:proofErr w:type="spellEnd"/>
            <w:r>
              <w:t xml:space="preserve"> </w:t>
            </w:r>
          </w:p>
          <w:p w:rsidR="00E2126E" w:rsidRDefault="00E2126E"/>
        </w:tc>
      </w:tr>
      <w:tr w:rsidR="00E2126E" w:rsidTr="00E2126E">
        <w:trPr>
          <w:tblCellSpacing w:w="15" w:type="dxa"/>
        </w:trPr>
        <w:tc>
          <w:tcPr>
            <w:tcW w:w="0" w:type="auto"/>
            <w:gridSpan w:val="2"/>
            <w:tcMar>
              <w:top w:w="0" w:type="dxa"/>
              <w:left w:w="0" w:type="dxa"/>
              <w:bottom w:w="0" w:type="dxa"/>
              <w:right w:w="1050" w:type="dxa"/>
            </w:tcMar>
            <w:hideMark/>
          </w:tcPr>
          <w:p w:rsidR="00E2126E" w:rsidRDefault="00E2126E">
            <w:pPr>
              <w:pStyle w:val="Titre2"/>
            </w:pPr>
            <w:r>
              <w:t xml:space="preserve">One of </w:t>
            </w:r>
            <w:proofErr w:type="spellStart"/>
            <w:r>
              <w:t>Vietnam’s</w:t>
            </w:r>
            <w:proofErr w:type="spellEnd"/>
            <w:r>
              <w:t xml:space="preserve"> </w:t>
            </w:r>
            <w:proofErr w:type="spellStart"/>
            <w:r>
              <w:t>most</w:t>
            </w:r>
            <w:proofErr w:type="spellEnd"/>
            <w:r>
              <w:t xml:space="preserve"> </w:t>
            </w:r>
            <w:proofErr w:type="spellStart"/>
            <w:r>
              <w:t>acclaimed</w:t>
            </w:r>
            <w:proofErr w:type="spellEnd"/>
            <w:r>
              <w:t xml:space="preserve"> </w:t>
            </w:r>
            <w:proofErr w:type="spellStart"/>
            <w:r>
              <w:t>resorts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ushering</w:t>
            </w:r>
            <w:proofErr w:type="spellEnd"/>
            <w:r>
              <w:t xml:space="preserve"> </w:t>
            </w:r>
            <w:proofErr w:type="spellStart"/>
            <w:r>
              <w:t>in</w:t>
            </w:r>
            <w:proofErr w:type="spellEnd"/>
            <w:r>
              <w:t xml:space="preserve"> 2020 in a state of zen, </w:t>
            </w:r>
            <w:proofErr w:type="spellStart"/>
            <w:r>
              <w:t>launching</w:t>
            </w:r>
            <w:proofErr w:type="spellEnd"/>
            <w:r>
              <w:t xml:space="preserve"> </w:t>
            </w:r>
            <w:proofErr w:type="spellStart"/>
            <w:r>
              <w:t>restorative</w:t>
            </w:r>
            <w:proofErr w:type="spellEnd"/>
            <w:r>
              <w:t xml:space="preserve"> spa packages </w:t>
            </w:r>
            <w:proofErr w:type="spellStart"/>
            <w:r>
              <w:t>tailored</w:t>
            </w:r>
            <w:proofErr w:type="spellEnd"/>
            <w:r>
              <w:t xml:space="preserve"> to </w:t>
            </w:r>
            <w:proofErr w:type="spellStart"/>
            <w:r>
              <w:t>guests</w:t>
            </w:r>
            <w:proofErr w:type="spellEnd"/>
            <w:r>
              <w:t xml:space="preserve">’ </w:t>
            </w:r>
            <w:proofErr w:type="spellStart"/>
            <w:r>
              <w:t>birth</w:t>
            </w:r>
            <w:proofErr w:type="spellEnd"/>
            <w:r>
              <w:t xml:space="preserve"> </w:t>
            </w:r>
            <w:proofErr w:type="spellStart"/>
            <w:r>
              <w:t>years</w:t>
            </w:r>
            <w:proofErr w:type="spellEnd"/>
            <w:r>
              <w:t xml:space="preserve">, zodiac </w:t>
            </w:r>
            <w:proofErr w:type="spellStart"/>
            <w:r>
              <w:t>signs</w:t>
            </w:r>
            <w:proofErr w:type="spellEnd"/>
            <w:r>
              <w:t xml:space="preserve"> and zodiac </w:t>
            </w:r>
            <w:proofErr w:type="spellStart"/>
            <w:r>
              <w:t>elements</w:t>
            </w:r>
            <w:proofErr w:type="spellEnd"/>
            <w:r>
              <w:t>.</w:t>
            </w:r>
          </w:p>
        </w:tc>
      </w:tr>
    </w:tbl>
    <w:p w:rsidR="00E2126E" w:rsidRDefault="00E2126E" w:rsidP="00DB429F">
      <w:pPr>
        <w:pStyle w:val="Titre3"/>
        <w:spacing w:before="75" w:beforeAutospacing="0"/>
      </w:pPr>
    </w:p>
    <w:p w:rsidR="00E2126E" w:rsidRDefault="00E2126E" w:rsidP="00DB429F">
      <w:pPr>
        <w:pStyle w:val="Titre3"/>
        <w:spacing w:before="75" w:beforeAutospacing="0"/>
      </w:pPr>
      <w:r>
        <w:t>12</w:t>
      </w:r>
    </w:p>
    <w:p w:rsidR="00E2126E" w:rsidRDefault="00E2126E" w:rsidP="00E2126E">
      <w:pPr>
        <w:pStyle w:val="Titre2"/>
      </w:pPr>
      <w:hyperlink r:id="rId6" w:history="1">
        <w:r>
          <w:rPr>
            <w:rStyle w:val="Lienhypertexte"/>
          </w:rPr>
          <w:t>MAISON&amp;OBJET : rendez-vous à partir de vendredi pour faire le plein de nouveautés</w:t>
        </w:r>
      </w:hyperlink>
    </w:p>
    <w:p w:rsidR="00E2126E" w:rsidRDefault="00E2126E" w:rsidP="00E2126E">
      <w:pPr>
        <w:pStyle w:val="Titre3"/>
        <w:spacing w:before="75" w:beforeAutospacing="0"/>
      </w:pPr>
      <w:r>
        <w:t xml:space="preserve">La 25e édition du salon professionnel international de la décoration, du design et de l’art de vivre, ouvre vendredi ses portes au Parc des Expositions de Paris Nord Villepinte. (RE) GENERATION : La thématique MAISON&amp;OBJET a choisi d’explorer les nouveaux codes de consommation des générations Y et Z. </w:t>
      </w:r>
    </w:p>
    <w:p w:rsidR="00E2126E" w:rsidRDefault="00E2126E" w:rsidP="00DB429F">
      <w:pPr>
        <w:pStyle w:val="Titre3"/>
        <w:spacing w:before="75" w:beforeAutospacing="0"/>
      </w:pPr>
      <w:r>
        <w:t>13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7"/>
        <w:gridCol w:w="45"/>
      </w:tblGrid>
      <w:tr w:rsidR="00E2126E" w:rsidTr="00E2126E">
        <w:trPr>
          <w:gridAfter w:val="1"/>
          <w:tblCellSpacing w:w="15" w:type="dxa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750" w:type="dxa"/>
            </w:tcMar>
            <w:hideMark/>
          </w:tcPr>
          <w:p w:rsidR="00E2126E" w:rsidRDefault="00E2126E">
            <w:pPr>
              <w:pStyle w:val="Titre1"/>
            </w:pPr>
            <w:r>
              <w:lastRenderedPageBreak/>
              <w:t xml:space="preserve">Lily of the </w:t>
            </w:r>
            <w:proofErr w:type="spellStart"/>
            <w:r>
              <w:t>Valley</w:t>
            </w:r>
            <w:proofErr w:type="spellEnd"/>
            <w:r>
              <w:t>, premier hôtel français spécialisé dans le sport et la minceur (France)</w:t>
            </w:r>
          </w:p>
          <w:p w:rsidR="00E2126E" w:rsidRDefault="00E2126E"/>
        </w:tc>
      </w:tr>
      <w:tr w:rsidR="00E2126E" w:rsidTr="00E2126E">
        <w:trPr>
          <w:tblCellSpacing w:w="15" w:type="dxa"/>
        </w:trPr>
        <w:tc>
          <w:tcPr>
            <w:tcW w:w="0" w:type="auto"/>
            <w:gridSpan w:val="2"/>
            <w:tcMar>
              <w:top w:w="0" w:type="dxa"/>
              <w:left w:w="0" w:type="dxa"/>
              <w:bottom w:w="0" w:type="dxa"/>
              <w:right w:w="1050" w:type="dxa"/>
            </w:tcMar>
            <w:hideMark/>
          </w:tcPr>
          <w:p w:rsidR="00E2126E" w:rsidRDefault="00E2126E">
            <w:pPr>
              <w:pStyle w:val="Titre2"/>
            </w:pPr>
            <w:proofErr w:type="spellStart"/>
            <w:r>
              <w:t>Designé</w:t>
            </w:r>
            <w:proofErr w:type="spellEnd"/>
            <w:r>
              <w:t xml:space="preserve"> par Philippe Starck, l’hôtel Lily of the </w:t>
            </w:r>
            <w:proofErr w:type="spellStart"/>
            <w:r>
              <w:t>Valley</w:t>
            </w:r>
            <w:proofErr w:type="spellEnd"/>
            <w:r>
              <w:t xml:space="preserve">, membre de la collection de prestige </w:t>
            </w:r>
            <w:proofErr w:type="spellStart"/>
            <w:r>
              <w:t>Leading</w:t>
            </w:r>
            <w:proofErr w:type="spellEnd"/>
            <w:r>
              <w:t xml:space="preserve"> </w:t>
            </w:r>
            <w:proofErr w:type="spellStart"/>
            <w:r>
              <w:t>Hotels</w:t>
            </w:r>
            <w:proofErr w:type="spellEnd"/>
            <w:r>
              <w:t xml:space="preserve"> of the World, a ouvert ses portes en juillet 2019, sous la direction de Stéphane </w:t>
            </w:r>
            <w:proofErr w:type="spellStart"/>
            <w:r>
              <w:t>Personeni</w:t>
            </w:r>
            <w:proofErr w:type="spellEnd"/>
            <w:r>
              <w:t>.</w:t>
            </w:r>
          </w:p>
        </w:tc>
      </w:tr>
    </w:tbl>
    <w:p w:rsidR="00E2126E" w:rsidRDefault="00E2126E" w:rsidP="00DB429F">
      <w:pPr>
        <w:pStyle w:val="Titre3"/>
        <w:spacing w:before="75" w:beforeAutospacing="0"/>
      </w:pPr>
    </w:p>
    <w:p w:rsidR="00E2126E" w:rsidRDefault="00E2126E" w:rsidP="00DB429F">
      <w:pPr>
        <w:pStyle w:val="Titre3"/>
        <w:spacing w:before="75" w:beforeAutospacing="0"/>
      </w:pPr>
      <w:r>
        <w:t>14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7"/>
        <w:gridCol w:w="45"/>
      </w:tblGrid>
      <w:tr w:rsidR="00E2126E" w:rsidTr="00E2126E">
        <w:trPr>
          <w:gridAfter w:val="1"/>
          <w:tblCellSpacing w:w="15" w:type="dxa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750" w:type="dxa"/>
            </w:tcMar>
            <w:hideMark/>
          </w:tcPr>
          <w:p w:rsidR="00E2126E" w:rsidRDefault="00E2126E">
            <w:pPr>
              <w:pStyle w:val="Titre1"/>
            </w:pPr>
            <w:proofErr w:type="spellStart"/>
            <w:r>
              <w:t>Rosewood</w:t>
            </w:r>
            <w:proofErr w:type="spellEnd"/>
            <w:r>
              <w:t xml:space="preserve"> </w:t>
            </w:r>
            <w:proofErr w:type="spellStart"/>
            <w:r>
              <w:t>Hotels</w:t>
            </w:r>
            <w:proofErr w:type="spellEnd"/>
            <w:r>
              <w:t xml:space="preserve"> &amp; </w:t>
            </w:r>
            <w:proofErr w:type="spellStart"/>
            <w:r>
              <w:t>Resorts</w:t>
            </w:r>
            <w:proofErr w:type="spellEnd"/>
            <w:r>
              <w:t xml:space="preserve"> </w:t>
            </w:r>
            <w:proofErr w:type="spellStart"/>
            <w:r>
              <w:t>offers</w:t>
            </w:r>
            <w:proofErr w:type="spellEnd"/>
            <w:r>
              <w:t xml:space="preserve"> an </w:t>
            </w:r>
            <w:proofErr w:type="spellStart"/>
            <w:r>
              <w:t>unmatched</w:t>
            </w:r>
            <w:proofErr w:type="spellEnd"/>
            <w:r>
              <w:t xml:space="preserve"> </w:t>
            </w:r>
            <w:proofErr w:type="spellStart"/>
            <w:r>
              <w:t>wellness</w:t>
            </w:r>
            <w:proofErr w:type="spellEnd"/>
            <w:r>
              <w:t xml:space="preserve"> </w:t>
            </w:r>
            <w:proofErr w:type="spellStart"/>
            <w:r>
              <w:t>journey</w:t>
            </w:r>
            <w:proofErr w:type="spellEnd"/>
            <w:r>
              <w:t xml:space="preserve"> at </w:t>
            </w:r>
            <w:proofErr w:type="spellStart"/>
            <w:r>
              <w:t>Asaya</w:t>
            </w:r>
            <w:proofErr w:type="spellEnd"/>
            <w:r>
              <w:t xml:space="preserve"> Hong Kong (China)</w:t>
            </w:r>
          </w:p>
          <w:p w:rsidR="00E2126E" w:rsidRDefault="00E2126E"/>
        </w:tc>
      </w:tr>
      <w:tr w:rsidR="00E2126E" w:rsidTr="00E2126E">
        <w:trPr>
          <w:tblCellSpacing w:w="15" w:type="dxa"/>
        </w:trPr>
        <w:tc>
          <w:tcPr>
            <w:tcW w:w="0" w:type="auto"/>
            <w:gridSpan w:val="2"/>
            <w:tcMar>
              <w:top w:w="0" w:type="dxa"/>
              <w:left w:w="0" w:type="dxa"/>
              <w:bottom w:w="0" w:type="dxa"/>
              <w:right w:w="1050" w:type="dxa"/>
            </w:tcMar>
            <w:hideMark/>
          </w:tcPr>
          <w:p w:rsidR="00E2126E" w:rsidRDefault="00E2126E">
            <w:pPr>
              <w:pStyle w:val="Titre2"/>
            </w:pPr>
            <w:bookmarkStart w:id="0" w:name="_GoBack"/>
            <w:bookmarkEnd w:id="0"/>
            <w:r>
              <w:t>The ultra-</w:t>
            </w:r>
            <w:proofErr w:type="spellStart"/>
            <w:r>
              <w:t>luxury</w:t>
            </w:r>
            <w:proofErr w:type="spellEnd"/>
            <w:r>
              <w:t xml:space="preserve"> </w:t>
            </w:r>
            <w:proofErr w:type="spellStart"/>
            <w:r>
              <w:t>hospitality</w:t>
            </w:r>
            <w:proofErr w:type="spellEnd"/>
            <w:r>
              <w:t xml:space="preserve"> </w:t>
            </w:r>
            <w:proofErr w:type="spellStart"/>
            <w:r>
              <w:t>brand’s</w:t>
            </w:r>
            <w:proofErr w:type="spellEnd"/>
            <w:r>
              <w:t xml:space="preserve"> new </w:t>
            </w:r>
            <w:proofErr w:type="spellStart"/>
            <w:r>
              <w:t>integrative</w:t>
            </w:r>
            <w:proofErr w:type="spellEnd"/>
            <w:r>
              <w:t xml:space="preserve"> </w:t>
            </w:r>
            <w:proofErr w:type="spellStart"/>
            <w:r>
              <w:t>wellness</w:t>
            </w:r>
            <w:proofErr w:type="spellEnd"/>
            <w:r>
              <w:t xml:space="preserve"> concept </w:t>
            </w:r>
            <w:proofErr w:type="spellStart"/>
            <w:r>
              <w:t>provides</w:t>
            </w:r>
            <w:proofErr w:type="spellEnd"/>
            <w:r>
              <w:t xml:space="preserve"> </w:t>
            </w:r>
            <w:proofErr w:type="spellStart"/>
            <w:r>
              <w:t>innovative</w:t>
            </w:r>
            <w:proofErr w:type="spellEnd"/>
            <w:r>
              <w:t xml:space="preserve">, </w:t>
            </w:r>
            <w:proofErr w:type="spellStart"/>
            <w:r>
              <w:t>personalised</w:t>
            </w:r>
            <w:proofErr w:type="spellEnd"/>
            <w:r>
              <w:t xml:space="preserve"> solutions to </w:t>
            </w:r>
            <w:proofErr w:type="spellStart"/>
            <w:r>
              <w:t>create</w:t>
            </w:r>
            <w:proofErr w:type="spellEnd"/>
            <w:r>
              <w:t xml:space="preserve"> the </w:t>
            </w:r>
            <w:proofErr w:type="spellStart"/>
            <w:r>
              <w:t>foundations</w:t>
            </w:r>
            <w:proofErr w:type="spellEnd"/>
            <w:r>
              <w:t xml:space="preserve"> for optimal </w:t>
            </w:r>
            <w:proofErr w:type="spellStart"/>
            <w:r>
              <w:t>urban</w:t>
            </w:r>
            <w:proofErr w:type="spellEnd"/>
            <w:r>
              <w:t xml:space="preserve"> living </w:t>
            </w:r>
            <w:proofErr w:type="spellStart"/>
            <w:r>
              <w:t>in</w:t>
            </w:r>
            <w:proofErr w:type="spellEnd"/>
            <w:r>
              <w:t xml:space="preserve"> 2020 and </w:t>
            </w:r>
            <w:proofErr w:type="spellStart"/>
            <w:r>
              <w:t>beyond</w:t>
            </w:r>
            <w:proofErr w:type="spellEnd"/>
          </w:p>
        </w:tc>
      </w:tr>
    </w:tbl>
    <w:p w:rsidR="00E2126E" w:rsidRDefault="00E2126E" w:rsidP="00DB429F">
      <w:pPr>
        <w:pStyle w:val="Titre3"/>
        <w:spacing w:before="75" w:beforeAutospacing="0"/>
      </w:pPr>
    </w:p>
    <w:p w:rsidR="00DB429F" w:rsidRDefault="00DB429F" w:rsidP="00DB429F">
      <w:pPr>
        <w:pStyle w:val="Titre3"/>
        <w:spacing w:before="75" w:beforeAutospacing="0"/>
      </w:pPr>
      <w:r>
        <w:t>15</w:t>
      </w:r>
    </w:p>
    <w:p w:rsidR="00DB429F" w:rsidRDefault="00DB429F" w:rsidP="00DB429F">
      <w:pPr>
        <w:pStyle w:val="Titre2"/>
      </w:pPr>
      <w:r>
        <w:t xml:space="preserve">The concept of </w:t>
      </w:r>
      <w:proofErr w:type="spellStart"/>
      <w:r>
        <w:t>wellness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transforming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aspect of </w:t>
      </w:r>
      <w:proofErr w:type="spellStart"/>
      <w:r>
        <w:t>travel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individuals</w:t>
      </w:r>
      <w:proofErr w:type="spellEnd"/>
      <w:r>
        <w:t xml:space="preserve"> in constant </w:t>
      </w:r>
      <w:proofErr w:type="spellStart"/>
      <w:r>
        <w:t>search</w:t>
      </w:r>
      <w:proofErr w:type="spellEnd"/>
      <w:r>
        <w:t xml:space="preserve"> of the best </w:t>
      </w:r>
      <w:proofErr w:type="spellStart"/>
      <w:r>
        <w:t>ways</w:t>
      </w:r>
      <w:proofErr w:type="spellEnd"/>
      <w:r>
        <w:t xml:space="preserve"> in </w:t>
      </w:r>
      <w:proofErr w:type="spellStart"/>
      <w:r>
        <w:t>which</w:t>
      </w:r>
      <w:proofErr w:type="spellEnd"/>
      <w:r>
        <w:t xml:space="preserve"> not </w:t>
      </w:r>
      <w:proofErr w:type="spellStart"/>
      <w:r>
        <w:t>only</w:t>
      </w:r>
      <w:proofErr w:type="spellEnd"/>
      <w:r>
        <w:t xml:space="preserve"> to </w:t>
      </w:r>
      <w:proofErr w:type="spellStart"/>
      <w:r>
        <w:t>unwind</w:t>
      </w:r>
      <w:proofErr w:type="spellEnd"/>
      <w:r>
        <w:t xml:space="preserve"> but to </w:t>
      </w:r>
      <w:proofErr w:type="spellStart"/>
      <w:r>
        <w:t>take</w:t>
      </w:r>
      <w:proofErr w:type="spellEnd"/>
      <w:r>
        <w:t xml:space="preserve"> time for </w:t>
      </w:r>
      <w:proofErr w:type="spellStart"/>
      <w:r>
        <w:t>reflection</w:t>
      </w:r>
      <w:proofErr w:type="spellEnd"/>
      <w:r>
        <w:t xml:space="preserve"> and </w:t>
      </w:r>
      <w:proofErr w:type="spellStart"/>
      <w:r>
        <w:t>discover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 and </w:t>
      </w:r>
      <w:proofErr w:type="spellStart"/>
      <w:r>
        <w:t>lifestyle</w:t>
      </w:r>
      <w:proofErr w:type="spellEnd"/>
      <w:r>
        <w:t xml:space="preserve"> habits to </w:t>
      </w:r>
      <w:proofErr w:type="spellStart"/>
      <w:r>
        <w:t>cope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stress and burnout of </w:t>
      </w:r>
      <w:proofErr w:type="spellStart"/>
      <w:r>
        <w:t>everyday</w:t>
      </w:r>
      <w:proofErr w:type="spellEnd"/>
      <w:r>
        <w:t xml:space="preserve"> life.</w:t>
      </w:r>
    </w:p>
    <w:p w:rsidR="00DB429F" w:rsidRDefault="00DB429F" w:rsidP="00DB429F">
      <w:pPr>
        <w:pStyle w:val="Titre3"/>
        <w:spacing w:before="75" w:beforeAutospacing="0"/>
      </w:pPr>
    </w:p>
    <w:p w:rsidR="00DB429F" w:rsidRDefault="00DB429F"/>
    <w:sectPr w:rsidR="00DB42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29F"/>
    <w:rsid w:val="00680A28"/>
    <w:rsid w:val="00C12D22"/>
    <w:rsid w:val="00DB429F"/>
    <w:rsid w:val="00E21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4E3F7"/>
  <w15:chartTrackingRefBased/>
  <w15:docId w15:val="{9E9108D1-075B-4FE1-A301-3F2DE0A79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B42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link w:val="Titre2Car"/>
    <w:uiPriority w:val="9"/>
    <w:qFormat/>
    <w:rsid w:val="00DB42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DB429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DB429F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DB429F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DB429F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DB42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liengris14i">
    <w:name w:val="lien_gris14i"/>
    <w:basedOn w:val="Policepardfaut"/>
    <w:rsid w:val="00DB429F"/>
  </w:style>
  <w:style w:type="paragraph" w:styleId="NormalWeb">
    <w:name w:val="Normal (Web)"/>
    <w:basedOn w:val="Normal"/>
    <w:uiPriority w:val="99"/>
    <w:semiHidden/>
    <w:unhideWhenUsed/>
    <w:rsid w:val="00DB42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64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75066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7238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36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84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2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8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14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25370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7558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83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6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1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1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317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5877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16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91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17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9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journaldespalaces.com/actualite-57077-MAISONOBJET-rendez-vous-a-partir-de-vendredi-pour-faire-le-plein-de-nouveautes.html" TargetMode="External"/><Relationship Id="rId5" Type="http://schemas.openxmlformats.org/officeDocument/2006/relationships/hyperlink" Target="https://www.journaldespalaces.com/actualite-57072-Christophe-Raoux-nomme-chef-executif-de-l-cole-Ducasse-Paris-Campus.html" TargetMode="External"/><Relationship Id="rId4" Type="http://schemas.openxmlformats.org/officeDocument/2006/relationships/hyperlink" Target="https://www.journaldespalaces.com/actualite-57088-Ouf-Of-Reach-8239-le-voyage-deconnectant-ou-deconnecte.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914</Words>
  <Characters>5032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stagiaire</dc:creator>
  <cp:keywords/>
  <dc:description/>
  <cp:lastModifiedBy>stagiaire</cp:lastModifiedBy>
  <cp:revision>3</cp:revision>
  <dcterms:created xsi:type="dcterms:W3CDTF">2020-01-15T11:16:00Z</dcterms:created>
  <dcterms:modified xsi:type="dcterms:W3CDTF">2020-01-15T11:36:00Z</dcterms:modified>
</cp:coreProperties>
</file>