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620"/>
      </w:tblGrid>
      <w:tr w14:paraId="288939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417" w:type="dxa"/>
            <w:tcBorders>
              <w:top w:val="single" w:color="auto" w:sz="8" w:space="0"/>
              <w:left w:val="single" w:color="auto" w:sz="8" w:space="0"/>
              <w:bottom w:val="single" w:color="auto" w:sz="8" w:space="0"/>
            </w:tcBorders>
            <w:vAlign w:val="center"/>
          </w:tcPr>
          <w:p w14:paraId="2ABB823F">
            <w:pPr>
              <w:jc w:val="center"/>
            </w:pPr>
            <w:r>
              <w:rPr>
                <w:rFonts w:hint="eastAsia"/>
                <w:color w:val="000000" w:themeColor="text1"/>
                <w14:textFill>
                  <w14:solidFill>
                    <w14:schemeClr w14:val="tx1"/>
                  </w14:solidFill>
                </w14:textFill>
              </w:rPr>
              <w:t>项目编号</w:t>
            </w:r>
          </w:p>
        </w:tc>
        <w:tc>
          <w:tcPr>
            <w:tcW w:w="1620" w:type="dxa"/>
            <w:tcBorders>
              <w:top w:val="single" w:color="auto" w:sz="8" w:space="0"/>
              <w:bottom w:val="single" w:color="auto" w:sz="8" w:space="0"/>
              <w:right w:val="single" w:color="auto" w:sz="8" w:space="0"/>
            </w:tcBorders>
            <w:vAlign w:val="center"/>
          </w:tcPr>
          <w:p w14:paraId="6C20A962"/>
        </w:tc>
      </w:tr>
    </w:tbl>
    <w:p w14:paraId="0A9A02BA"/>
    <w:p w14:paraId="4A5FD2EE"/>
    <w:p w14:paraId="287658B3"/>
    <w:p w14:paraId="322D3F41">
      <w:pPr>
        <w:jc w:val="center"/>
        <w:rPr>
          <w:rFonts w:ascii="黑体" w:eastAsia="黑体"/>
          <w:b/>
          <w:sz w:val="44"/>
          <w:szCs w:val="44"/>
        </w:rPr>
      </w:pPr>
      <w:r>
        <w:rPr>
          <w:rFonts w:hint="eastAsia" w:ascii="黑体" w:eastAsia="黑体"/>
          <w:b/>
          <w:sz w:val="44"/>
          <w:szCs w:val="44"/>
        </w:rPr>
        <w:t>教育部哲学社会科学实验室</w:t>
      </w:r>
    </w:p>
    <w:p w14:paraId="256B438F">
      <w:pPr>
        <w:jc w:val="center"/>
        <w:rPr>
          <w:rFonts w:ascii="黑体" w:eastAsia="黑体"/>
          <w:b/>
          <w:sz w:val="44"/>
          <w:szCs w:val="44"/>
        </w:rPr>
      </w:pPr>
      <w:r>
        <w:rPr>
          <w:rFonts w:hint="eastAsia" w:ascii="黑体" w:eastAsia="黑体"/>
          <w:b/>
          <w:sz w:val="44"/>
          <w:szCs w:val="44"/>
        </w:rPr>
        <w:t>—中国政法大学数据法治实验室</w:t>
      </w:r>
    </w:p>
    <w:p w14:paraId="44DCE524">
      <w:pPr>
        <w:jc w:val="center"/>
        <w:rPr>
          <w:rFonts w:ascii="黑体" w:eastAsia="黑体"/>
          <w:b/>
          <w:sz w:val="44"/>
          <w:szCs w:val="44"/>
        </w:rPr>
      </w:pPr>
      <w:r>
        <w:rPr>
          <w:rFonts w:hint="eastAsia" w:ascii="黑体" w:eastAsia="黑体"/>
          <w:b/>
          <w:sz w:val="44"/>
          <w:szCs w:val="44"/>
        </w:rPr>
        <w:t>中国政法大学数据法治研究院</w:t>
      </w:r>
    </w:p>
    <w:p w14:paraId="61C9BFA8">
      <w:pPr>
        <w:jc w:val="center"/>
        <w:rPr>
          <w:rFonts w:ascii="黑体" w:eastAsia="黑体"/>
          <w:b/>
          <w:sz w:val="44"/>
          <w:szCs w:val="44"/>
        </w:rPr>
      </w:pPr>
      <w:r>
        <w:rPr>
          <w:rFonts w:hint="eastAsia" w:ascii="黑体" w:eastAsia="黑体"/>
          <w:b/>
          <w:sz w:val="44"/>
          <w:szCs w:val="44"/>
        </w:rPr>
        <w:t>数字检察研究基地</w:t>
      </w:r>
    </w:p>
    <w:p w14:paraId="0EAEC709">
      <w:pPr>
        <w:jc w:val="center"/>
        <w:rPr>
          <w:rFonts w:ascii="黑体" w:eastAsia="黑体"/>
          <w:b/>
          <w:spacing w:val="-10"/>
          <w:sz w:val="44"/>
          <w:szCs w:val="44"/>
        </w:rPr>
      </w:pPr>
      <w:r>
        <w:rPr>
          <w:rFonts w:hint="eastAsia" w:ascii="黑体" w:eastAsia="黑体"/>
          <w:b/>
          <w:spacing w:val="-10"/>
          <w:sz w:val="44"/>
          <w:szCs w:val="44"/>
        </w:rPr>
        <w:t>“大学生数据法治实验模型竞赛”</w:t>
      </w:r>
    </w:p>
    <w:p w14:paraId="3639824E">
      <w:pPr>
        <w:rPr>
          <w:rFonts w:ascii="黑体" w:eastAsia="黑体"/>
          <w:b/>
          <w:sz w:val="44"/>
          <w:szCs w:val="44"/>
        </w:rPr>
      </w:pPr>
    </w:p>
    <w:p w14:paraId="46BA7A32">
      <w:pPr>
        <w:jc w:val="center"/>
        <w:rPr>
          <w:rFonts w:ascii="华文中宋" w:hAnsi="华文中宋" w:eastAsia="华文中宋"/>
          <w:b/>
          <w:sz w:val="48"/>
        </w:rPr>
      </w:pPr>
      <w:r>
        <w:rPr>
          <w:rFonts w:hint="eastAsia" w:ascii="黑体" w:eastAsia="黑体"/>
          <w:b/>
          <w:sz w:val="44"/>
          <w:szCs w:val="44"/>
        </w:rPr>
        <w:t>申 请 评 审 书</w:t>
      </w:r>
    </w:p>
    <w:p w14:paraId="56C32357">
      <w:pPr>
        <w:rPr>
          <w:rFonts w:eastAsia="仿宋_GB2312"/>
          <w:sz w:val="32"/>
        </w:rPr>
      </w:pPr>
    </w:p>
    <w:p w14:paraId="69BF8007">
      <w:pPr>
        <w:jc w:val="center"/>
        <w:rPr>
          <w:rFonts w:eastAsia="仿宋_GB2312"/>
        </w:rPr>
      </w:pPr>
    </w:p>
    <w:p w14:paraId="04870B76">
      <w:pPr>
        <w:jc w:val="both"/>
        <w:rPr>
          <w:rFonts w:hint="eastAsia" w:eastAsia="仿宋_GB2312"/>
          <w:sz w:val="32"/>
        </w:rPr>
      </w:pPr>
    </w:p>
    <w:p w14:paraId="18EB8FC1">
      <w:pPr>
        <w:jc w:val="both"/>
        <w:rPr>
          <w:rFonts w:hint="eastAsia" w:eastAsia="仿宋_GB2312"/>
          <w:sz w:val="28"/>
          <w:szCs w:val="28"/>
          <w:lang w:val="en-US" w:eastAsia="zh-CN"/>
        </w:rPr>
      </w:pPr>
      <w:r>
        <w:rPr>
          <w:rFonts w:hint="eastAsia" w:eastAsia="仿宋_GB2312"/>
          <w:sz w:val="32"/>
        </w:rPr>
        <w:t>项  目</w:t>
      </w:r>
      <w:r>
        <w:rPr>
          <w:rFonts w:eastAsia="仿宋_GB2312"/>
          <w:sz w:val="32"/>
        </w:rPr>
        <w:t xml:space="preserve">  </w:t>
      </w:r>
      <w:r>
        <w:rPr>
          <w:rFonts w:hint="eastAsia" w:eastAsia="仿宋_GB2312"/>
          <w:sz w:val="32"/>
        </w:rPr>
        <w:t>名</w:t>
      </w:r>
      <w:r>
        <w:rPr>
          <w:rFonts w:eastAsia="仿宋_GB2312"/>
          <w:sz w:val="32"/>
        </w:rPr>
        <w:t xml:space="preserve">  </w:t>
      </w:r>
      <w:r>
        <w:rPr>
          <w:rFonts w:hint="eastAsia" w:eastAsia="仿宋_GB2312"/>
          <w:sz w:val="32"/>
        </w:rPr>
        <w:t>称</w:t>
      </w:r>
      <w:r>
        <w:rPr>
          <w:rFonts w:hint="eastAsia" w:eastAsia="仿宋_GB2312"/>
          <w:sz w:val="32"/>
          <w:u w:val="single"/>
          <w:lang w:val="en-US" w:eastAsia="zh-CN"/>
        </w:rPr>
        <w:t xml:space="preserve"> </w:t>
      </w:r>
      <w:r>
        <w:rPr>
          <w:rFonts w:hint="eastAsia" w:eastAsia="仿宋_GB2312"/>
          <w:sz w:val="28"/>
          <w:szCs w:val="28"/>
          <w:u w:val="single"/>
        </w:rPr>
        <w:t>基于DeepSeek-R1的作品实质性相似研判系统</w:t>
      </w:r>
      <w:r>
        <w:rPr>
          <w:rFonts w:hint="eastAsia" w:eastAsia="仿宋_GB2312"/>
          <w:sz w:val="28"/>
          <w:szCs w:val="28"/>
          <w:u w:val="single"/>
          <w:lang w:val="en-US" w:eastAsia="zh-CN"/>
        </w:rPr>
        <w:t xml:space="preserve"> </w:t>
      </w:r>
    </w:p>
    <w:p w14:paraId="7085C357">
      <w:pPr>
        <w:jc w:val="both"/>
        <w:rPr>
          <w:rFonts w:hint="default" w:eastAsia="仿宋_GB2312"/>
          <w:sz w:val="32"/>
          <w:u w:val="single"/>
          <w:lang w:val="en-US"/>
        </w:rPr>
      </w:pPr>
      <w:r>
        <w:rPr>
          <w:rFonts w:hint="eastAsia" w:eastAsia="仿宋_GB2312"/>
          <w:sz w:val="32"/>
        </w:rPr>
        <w:t>项</w:t>
      </w:r>
      <w:r>
        <w:rPr>
          <w:rFonts w:eastAsia="仿宋_GB2312"/>
          <w:sz w:val="32"/>
        </w:rPr>
        <w:t xml:space="preserve"> </w:t>
      </w:r>
      <w:r>
        <w:rPr>
          <w:rFonts w:hint="eastAsia" w:eastAsia="仿宋_GB2312"/>
          <w:sz w:val="32"/>
        </w:rPr>
        <w:t>目</w:t>
      </w:r>
      <w:r>
        <w:rPr>
          <w:rFonts w:eastAsia="仿宋_GB2312"/>
          <w:sz w:val="32"/>
        </w:rPr>
        <w:t xml:space="preserve"> </w:t>
      </w:r>
      <w:r>
        <w:rPr>
          <w:rFonts w:hint="eastAsia" w:eastAsia="仿宋_GB2312"/>
          <w:sz w:val="32"/>
        </w:rPr>
        <w:t>负</w:t>
      </w:r>
      <w:r>
        <w:rPr>
          <w:rFonts w:eastAsia="仿宋_GB2312"/>
          <w:sz w:val="32"/>
        </w:rPr>
        <w:t xml:space="preserve"> </w:t>
      </w:r>
      <w:r>
        <w:rPr>
          <w:rFonts w:hint="eastAsia" w:eastAsia="仿宋_GB2312"/>
          <w:sz w:val="32"/>
        </w:rPr>
        <w:t>责</w:t>
      </w:r>
      <w:r>
        <w:rPr>
          <w:rFonts w:eastAsia="仿宋_GB2312"/>
          <w:sz w:val="32"/>
        </w:rPr>
        <w:t xml:space="preserve"> </w:t>
      </w:r>
      <w:r>
        <w:rPr>
          <w:rFonts w:hint="eastAsia" w:eastAsia="仿宋_GB2312"/>
          <w:sz w:val="32"/>
        </w:rPr>
        <w:t>人</w:t>
      </w:r>
      <w:r>
        <w:rPr>
          <w:rFonts w:hint="eastAsia" w:eastAsia="仿宋_GB2312"/>
          <w:sz w:val="32"/>
          <w:u w:val="single"/>
          <w:lang w:val="en-US" w:eastAsia="zh-CN"/>
        </w:rPr>
        <w:t xml:space="preserve">               陈家更                </w:t>
      </w:r>
    </w:p>
    <w:p w14:paraId="05D83292">
      <w:pPr>
        <w:jc w:val="both"/>
        <w:rPr>
          <w:rFonts w:hint="default" w:eastAsia="仿宋_GB2312"/>
          <w:sz w:val="32"/>
          <w:u w:val="single"/>
          <w:lang w:val="en-US" w:eastAsia="zh-CN"/>
        </w:rPr>
      </w:pPr>
      <w:r>
        <w:rPr>
          <w:rFonts w:hint="eastAsia" w:eastAsia="仿宋_GB2312"/>
          <w:sz w:val="32"/>
        </w:rPr>
        <w:t>负责人就读高校</w:t>
      </w:r>
      <w:r>
        <w:rPr>
          <w:rFonts w:hint="eastAsia" w:eastAsia="仿宋_GB2312"/>
          <w:sz w:val="32"/>
          <w:u w:val="single"/>
          <w:lang w:val="en-US" w:eastAsia="zh-CN"/>
        </w:rPr>
        <w:t xml:space="preserve">            武汉工程大学             </w:t>
      </w:r>
    </w:p>
    <w:p w14:paraId="3C9C959F">
      <w:pPr>
        <w:jc w:val="both"/>
        <w:rPr>
          <w:rFonts w:hint="default" w:eastAsia="仿宋_GB2312"/>
          <w:sz w:val="32"/>
          <w:u w:val="single"/>
          <w:lang w:val="en-US" w:eastAsia="zh-CN"/>
        </w:rPr>
      </w:pPr>
      <w:r>
        <w:rPr>
          <w:rFonts w:hint="eastAsia" w:eastAsia="仿宋_GB2312"/>
          <w:sz w:val="32"/>
        </w:rPr>
        <w:t>填</w:t>
      </w:r>
      <w:r>
        <w:rPr>
          <w:rFonts w:eastAsia="仿宋_GB2312"/>
          <w:sz w:val="32"/>
        </w:rPr>
        <w:t xml:space="preserve">  </w:t>
      </w:r>
      <w:r>
        <w:rPr>
          <w:rFonts w:hint="eastAsia" w:eastAsia="仿宋_GB2312"/>
          <w:sz w:val="32"/>
        </w:rPr>
        <w:t>表</w:t>
      </w:r>
      <w:r>
        <w:rPr>
          <w:rFonts w:eastAsia="仿宋_GB2312"/>
          <w:sz w:val="32"/>
        </w:rPr>
        <w:t xml:space="preserve">  </w:t>
      </w:r>
      <w:r>
        <w:rPr>
          <w:rFonts w:hint="eastAsia" w:eastAsia="仿宋_GB2312"/>
          <w:sz w:val="32"/>
        </w:rPr>
        <w:t>日</w:t>
      </w:r>
      <w:r>
        <w:rPr>
          <w:rFonts w:eastAsia="仿宋_GB2312"/>
          <w:sz w:val="32"/>
        </w:rPr>
        <w:t xml:space="preserve">  </w:t>
      </w:r>
      <w:r>
        <w:rPr>
          <w:rFonts w:hint="eastAsia" w:eastAsia="仿宋_GB2312"/>
          <w:sz w:val="32"/>
        </w:rPr>
        <w:t>期</w:t>
      </w:r>
      <w:r>
        <w:rPr>
          <w:rFonts w:hint="eastAsia" w:eastAsia="仿宋_GB2312"/>
          <w:sz w:val="32"/>
          <w:u w:val="single"/>
          <w:lang w:val="en-US" w:eastAsia="zh-CN"/>
        </w:rPr>
        <w:t xml:space="preserve">               2025.5.19               </w:t>
      </w:r>
    </w:p>
    <w:p w14:paraId="2C91DF02">
      <w:pPr>
        <w:spacing w:line="480" w:lineRule="auto"/>
        <w:rPr>
          <w:rFonts w:eastAsia="黑体"/>
          <w:sz w:val="32"/>
        </w:rPr>
      </w:pPr>
    </w:p>
    <w:p w14:paraId="03B98682">
      <w:pPr>
        <w:spacing w:line="480" w:lineRule="exact"/>
        <w:rPr>
          <w:rFonts w:ascii="黑体" w:hAnsi="黑体" w:eastAsia="黑体"/>
          <w:sz w:val="28"/>
          <w:szCs w:val="28"/>
        </w:rPr>
      </w:pPr>
    </w:p>
    <w:p w14:paraId="7F77260B">
      <w:pPr>
        <w:spacing w:line="480" w:lineRule="exact"/>
        <w:rPr>
          <w:rFonts w:ascii="黑体" w:hAnsi="黑体" w:eastAsia="黑体"/>
          <w:sz w:val="28"/>
          <w:szCs w:val="28"/>
        </w:rPr>
      </w:pPr>
    </w:p>
    <w:p w14:paraId="4558284B">
      <w:pPr>
        <w:spacing w:line="480" w:lineRule="exact"/>
        <w:rPr>
          <w:rFonts w:ascii="黑体" w:hAnsi="黑体" w:eastAsia="黑体"/>
          <w:sz w:val="28"/>
          <w:szCs w:val="28"/>
        </w:rPr>
      </w:pPr>
    </w:p>
    <w:p w14:paraId="0849E771">
      <w:pPr>
        <w:spacing w:line="480" w:lineRule="exact"/>
        <w:rPr>
          <w:rFonts w:ascii="黑体" w:hAnsi="黑体" w:eastAsia="黑体"/>
          <w:sz w:val="28"/>
          <w:szCs w:val="28"/>
        </w:rPr>
      </w:pPr>
      <w:r>
        <w:rPr>
          <w:rFonts w:hint="eastAsia" w:ascii="黑体" w:hAnsi="黑体" w:eastAsia="黑体"/>
          <w:sz w:val="28"/>
          <w:szCs w:val="28"/>
        </w:rPr>
        <w:t>申请者的承诺：</w:t>
      </w:r>
    </w:p>
    <w:p w14:paraId="2C77DA0E">
      <w:pPr>
        <w:spacing w:line="480" w:lineRule="exact"/>
        <w:rPr>
          <w:rFonts w:ascii="黑体" w:hAnsi="黑体" w:eastAsia="黑体"/>
          <w:sz w:val="28"/>
          <w:szCs w:val="28"/>
        </w:rPr>
      </w:pPr>
      <w:r>
        <w:rPr>
          <w:rFonts w:ascii="黑体" w:hAnsi="黑体" w:eastAsia="黑体"/>
          <w:sz w:val="28"/>
          <w:szCs w:val="28"/>
        </w:rPr>
        <w:t xml:space="preserve">   </w:t>
      </w:r>
      <w:r>
        <w:rPr>
          <w:rFonts w:hint="eastAsia" w:ascii="黑体" w:hAnsi="黑体" w:eastAsia="黑体"/>
          <w:sz w:val="28"/>
          <w:szCs w:val="28"/>
        </w:rPr>
        <w:t xml:space="preserve"> 我承诺对本人填写的各项内容的真实性负责，保证没有知识产权争议。我承诺以本表为有约束力的协议，以诚信的态度积极参与竞赛活动，所取得的预期成果完全由团队独立完成，不存在任何抄袭、剽窃、篡改他人学术成果，或伪造、篡改数据、文献等情况。教育部哲学社会科学实验室—中国政法大学数据法治实验室、中国政法大学数据法治研究院、数字检察研究基地有权使用本表所有数据、资料和项目成果。若填报失实或违反规定，本人愿承担全部责任。</w:t>
      </w:r>
    </w:p>
    <w:p w14:paraId="7BACAB2D">
      <w:pPr>
        <w:spacing w:line="420" w:lineRule="exact"/>
        <w:ind w:right="1800"/>
        <w:jc w:val="center"/>
        <w:rPr>
          <w:rFonts w:ascii="黑体" w:hAnsi="黑体" w:eastAsia="黑体"/>
          <w:sz w:val="28"/>
          <w:szCs w:val="28"/>
        </w:rPr>
      </w:pPr>
      <w:r>
        <w:rPr>
          <w:rFonts w:ascii="黑体" w:hAnsi="黑体" w:eastAsia="黑体"/>
          <w:sz w:val="28"/>
          <w:szCs w:val="28"/>
        </w:rPr>
        <w:t xml:space="preserve">                               </w:t>
      </w:r>
    </w:p>
    <w:p w14:paraId="52E2BEDE">
      <w:pPr>
        <w:spacing w:line="240" w:lineRule="auto"/>
        <w:ind w:right="1800"/>
        <w:jc w:val="center"/>
        <w:rPr>
          <w:rFonts w:hint="eastAsia" w:ascii="黑体" w:hAnsi="黑体" w:eastAsia="黑体"/>
          <w:sz w:val="28"/>
          <w:szCs w:val="28"/>
        </w:rPr>
      </w:pPr>
      <w:r>
        <w:rPr>
          <w:rFonts w:ascii="黑体" w:hAnsi="黑体" w:eastAsia="黑体"/>
          <w:sz w:val="28"/>
          <w:szCs w:val="28"/>
        </w:rPr>
        <w:t xml:space="preserve">         </w:t>
      </w:r>
      <w:r>
        <w:rPr>
          <w:rFonts w:hint="eastAsia" w:ascii="黑体" w:hAnsi="黑体" w:eastAsia="黑体"/>
          <w:sz w:val="28"/>
          <w:szCs w:val="28"/>
          <w:lang w:val="en-US" w:eastAsia="zh-CN"/>
        </w:rPr>
        <w:t xml:space="preserve">                          </w:t>
      </w:r>
      <w:r>
        <w:rPr>
          <w:rFonts w:hint="eastAsia" w:ascii="黑体" w:hAnsi="黑体" w:eastAsia="黑体"/>
          <w:sz w:val="28"/>
          <w:szCs w:val="28"/>
        </w:rPr>
        <w:t>申请人签字：</w:t>
      </w:r>
    </w:p>
    <w:p w14:paraId="269EF0AA">
      <w:pPr>
        <w:spacing w:line="240" w:lineRule="auto"/>
        <w:ind w:right="1800"/>
        <w:jc w:val="center"/>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919480" cy="372745"/>
            <wp:effectExtent l="0" t="0" r="0" b="0"/>
            <wp:docPr id="5" name="图片 5" descr="微信图片_2025042716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0427160444"/>
                    <pic:cNvPicPr>
                      <a:picLocks noChangeAspect="1"/>
                    </pic:cNvPicPr>
                  </pic:nvPicPr>
                  <pic:blipFill>
                    <a:blip r:embed="rId4">
                      <a:clrChange>
                        <a:clrFrom>
                          <a:srgbClr val="D5C5A1">
                            <a:alpha val="100000"/>
                          </a:srgbClr>
                        </a:clrFrom>
                        <a:clrTo>
                          <a:srgbClr val="D5C5A1">
                            <a:alpha val="100000"/>
                            <a:alpha val="0"/>
                          </a:srgbClr>
                        </a:clrTo>
                      </a:clrChange>
                    </a:blip>
                    <a:srcRect l="5854" t="16187" r="6759" b="13429"/>
                    <a:stretch>
                      <a:fillRect/>
                    </a:stretch>
                  </pic:blipFill>
                  <pic:spPr>
                    <a:xfrm>
                      <a:off x="0" y="0"/>
                      <a:ext cx="919480" cy="372745"/>
                    </a:xfrm>
                    <a:prstGeom prst="rect">
                      <a:avLst/>
                    </a:prstGeom>
                  </pic:spPr>
                </pic:pic>
              </a:graphicData>
            </a:graphic>
          </wp:inline>
        </w:drawing>
      </w:r>
      <w:r>
        <w:rPr>
          <w:rFonts w:hint="eastAsia" w:ascii="黑体" w:hAnsi="黑体" w:eastAsia="黑体"/>
          <w:sz w:val="28"/>
          <w:szCs w:val="28"/>
          <w:lang w:eastAsia="zh-CN"/>
        </w:rPr>
        <w:drawing>
          <wp:inline distT="0" distB="0" distL="114300" distR="114300">
            <wp:extent cx="688340" cy="433705"/>
            <wp:effectExtent l="0" t="0" r="0" b="0"/>
            <wp:docPr id="2" name="图片 2" descr="28cd2219a313dbddd12786ca6eb3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8cd2219a313dbddd12786ca6eb3e1f"/>
                    <pic:cNvPicPr>
                      <a:picLocks noChangeAspect="1"/>
                    </pic:cNvPicPr>
                  </pic:nvPicPr>
                  <pic:blipFill>
                    <a:blip r:embed="rId5">
                      <a:clrChange>
                        <a:clrFrom>
                          <a:srgbClr val="ADA49D">
                            <a:alpha val="100000"/>
                          </a:srgbClr>
                        </a:clrFrom>
                        <a:clrTo>
                          <a:srgbClr val="ADA49D">
                            <a:alpha val="100000"/>
                            <a:alpha val="0"/>
                          </a:srgbClr>
                        </a:clrTo>
                      </a:clrChange>
                    </a:blip>
                    <a:srcRect l="7019" t="12333" r="3468" b="22371"/>
                    <a:stretch>
                      <a:fillRect/>
                    </a:stretch>
                  </pic:blipFill>
                  <pic:spPr>
                    <a:xfrm>
                      <a:off x="0" y="0"/>
                      <a:ext cx="688340" cy="433705"/>
                    </a:xfrm>
                    <a:prstGeom prst="rect">
                      <a:avLst/>
                    </a:prstGeom>
                  </pic:spPr>
                </pic:pic>
              </a:graphicData>
            </a:graphic>
          </wp:inline>
        </w:drawing>
      </w:r>
      <w:r>
        <w:rPr>
          <w:rFonts w:hint="eastAsia" w:ascii="黑体" w:hAnsi="黑体" w:eastAsia="黑体"/>
          <w:sz w:val="28"/>
          <w:szCs w:val="28"/>
          <w:lang w:eastAsia="zh-CN"/>
        </w:rPr>
        <w:drawing>
          <wp:inline distT="0" distB="0" distL="114300" distR="114300">
            <wp:extent cx="850265" cy="375285"/>
            <wp:effectExtent l="0" t="0" r="0" b="0"/>
            <wp:docPr id="3" name="图片 3" descr="37ee738e89d8f071613a6938cca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7ee738e89d8f071613a6938cca0682"/>
                    <pic:cNvPicPr>
                      <a:picLocks noChangeAspect="1"/>
                    </pic:cNvPicPr>
                  </pic:nvPicPr>
                  <pic:blipFill>
                    <a:blip r:embed="rId6"/>
                    <a:srcRect l="27884" t="31802" r="18854" b="33392"/>
                    <a:stretch>
                      <a:fillRect/>
                    </a:stretch>
                  </pic:blipFill>
                  <pic:spPr>
                    <a:xfrm>
                      <a:off x="0" y="0"/>
                      <a:ext cx="850265" cy="375285"/>
                    </a:xfrm>
                    <a:prstGeom prst="rect">
                      <a:avLst/>
                    </a:prstGeom>
                  </pic:spPr>
                </pic:pic>
              </a:graphicData>
            </a:graphic>
          </wp:inline>
        </w:drawing>
      </w:r>
      <w:r>
        <w:rPr>
          <w:rFonts w:hint="eastAsia" w:ascii="黑体" w:hAnsi="黑体" w:eastAsia="黑体"/>
          <w:sz w:val="28"/>
          <w:szCs w:val="28"/>
          <w:lang w:eastAsia="zh-CN"/>
        </w:rPr>
        <w:drawing>
          <wp:inline distT="0" distB="0" distL="114300" distR="114300">
            <wp:extent cx="899795" cy="511175"/>
            <wp:effectExtent l="0" t="0" r="1905" b="9525"/>
            <wp:docPr id="6" name="图片 6" descr="3d60ab4489d0d9ee9249da79e1c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60ab4489d0d9ee9249da79e1c4444"/>
                    <pic:cNvPicPr>
                      <a:picLocks noChangeAspect="1"/>
                    </pic:cNvPicPr>
                  </pic:nvPicPr>
                  <pic:blipFill>
                    <a:blip r:embed="rId7"/>
                    <a:stretch>
                      <a:fillRect/>
                    </a:stretch>
                  </pic:blipFill>
                  <pic:spPr>
                    <a:xfrm>
                      <a:off x="0" y="0"/>
                      <a:ext cx="899795" cy="511175"/>
                    </a:xfrm>
                    <a:prstGeom prst="rect">
                      <a:avLst/>
                    </a:prstGeom>
                  </pic:spPr>
                </pic:pic>
              </a:graphicData>
            </a:graphic>
          </wp:inline>
        </w:drawing>
      </w:r>
      <w:r>
        <w:rPr>
          <w:rFonts w:hint="eastAsia" w:ascii="黑体" w:hAnsi="黑体" w:eastAsia="黑体"/>
          <w:sz w:val="28"/>
          <w:szCs w:val="28"/>
          <w:lang w:eastAsia="zh-CN"/>
        </w:rPr>
        <w:drawing>
          <wp:inline distT="0" distB="0" distL="114300" distR="114300">
            <wp:extent cx="750570" cy="302260"/>
            <wp:effectExtent l="0" t="0" r="11430" b="2540"/>
            <wp:docPr id="7" name="图片 7" descr="1813f6dec996deaab01f8b0a7858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813f6dec996deaab01f8b0a7858f94"/>
                    <pic:cNvPicPr>
                      <a:picLocks noChangeAspect="1"/>
                    </pic:cNvPicPr>
                  </pic:nvPicPr>
                  <pic:blipFill>
                    <a:blip r:embed="rId8"/>
                    <a:stretch>
                      <a:fillRect/>
                    </a:stretch>
                  </pic:blipFill>
                  <pic:spPr>
                    <a:xfrm>
                      <a:off x="0" y="0"/>
                      <a:ext cx="750570" cy="302260"/>
                    </a:xfrm>
                    <a:prstGeom prst="rect">
                      <a:avLst/>
                    </a:prstGeom>
                  </pic:spPr>
                </pic:pic>
              </a:graphicData>
            </a:graphic>
          </wp:inline>
        </w:drawing>
      </w:r>
    </w:p>
    <w:p w14:paraId="3DBD8F76">
      <w:pPr>
        <w:spacing w:line="420" w:lineRule="exact"/>
        <w:ind w:right="899"/>
        <w:jc w:val="center"/>
        <w:rPr>
          <w:rFonts w:ascii="黑体" w:hAnsi="黑体" w:eastAsia="黑体"/>
          <w:sz w:val="28"/>
          <w:szCs w:val="28"/>
        </w:rPr>
      </w:pPr>
    </w:p>
    <w:p w14:paraId="673AF933">
      <w:pPr>
        <w:spacing w:line="420" w:lineRule="exact"/>
        <w:ind w:right="899"/>
        <w:jc w:val="right"/>
        <w:rPr>
          <w:rFonts w:ascii="黑体" w:hAnsi="黑体" w:eastAsia="黑体"/>
          <w:sz w:val="28"/>
          <w:szCs w:val="28"/>
        </w:rPr>
      </w:pPr>
      <w:r>
        <w:rPr>
          <w:rFonts w:ascii="黑体" w:hAnsi="黑体" w:eastAsia="黑体"/>
          <w:sz w:val="28"/>
          <w:szCs w:val="28"/>
        </w:rPr>
        <w:t xml:space="preserve">                                    </w:t>
      </w:r>
      <w:r>
        <w:rPr>
          <w:rFonts w:hint="eastAsia" w:ascii="黑体" w:hAnsi="黑体" w:eastAsia="黑体"/>
          <w:sz w:val="28"/>
          <w:szCs w:val="28"/>
          <w:lang w:val="en-US" w:eastAsia="zh-CN"/>
        </w:rPr>
        <w:t>2025</w:t>
      </w:r>
      <w:r>
        <w:rPr>
          <w:rFonts w:hint="eastAsia" w:ascii="黑体" w:hAnsi="黑体" w:eastAsia="黑体"/>
          <w:sz w:val="28"/>
          <w:szCs w:val="28"/>
        </w:rPr>
        <w:t>年</w:t>
      </w:r>
      <w:r>
        <w:rPr>
          <w:rFonts w:hint="eastAsia" w:ascii="黑体" w:hAnsi="黑体" w:eastAsia="黑体"/>
          <w:sz w:val="28"/>
          <w:szCs w:val="28"/>
          <w:lang w:val="en-US" w:eastAsia="zh-CN"/>
        </w:rPr>
        <w:t>5</w:t>
      </w:r>
      <w:r>
        <w:rPr>
          <w:rFonts w:hint="eastAsia" w:ascii="黑体" w:hAnsi="黑体" w:eastAsia="黑体"/>
          <w:sz w:val="28"/>
          <w:szCs w:val="28"/>
        </w:rPr>
        <w:t>月</w:t>
      </w:r>
      <w:r>
        <w:rPr>
          <w:rFonts w:hint="eastAsia" w:ascii="黑体" w:hAnsi="黑体" w:eastAsia="黑体"/>
          <w:sz w:val="28"/>
          <w:szCs w:val="28"/>
          <w:lang w:val="en-US" w:eastAsia="zh-CN"/>
        </w:rPr>
        <w:t>19</w:t>
      </w:r>
      <w:r>
        <w:rPr>
          <w:rFonts w:hint="eastAsia" w:ascii="黑体" w:hAnsi="黑体" w:eastAsia="黑体"/>
          <w:sz w:val="28"/>
          <w:szCs w:val="28"/>
        </w:rPr>
        <w:t>日</w:t>
      </w:r>
    </w:p>
    <w:p w14:paraId="7F85919B">
      <w:pPr>
        <w:spacing w:line="420" w:lineRule="exact"/>
        <w:ind w:right="899"/>
        <w:jc w:val="right"/>
        <w:rPr>
          <w:rFonts w:ascii="黑体" w:hAnsi="黑体" w:eastAsia="黑体"/>
          <w:sz w:val="28"/>
          <w:szCs w:val="28"/>
        </w:rPr>
      </w:pPr>
    </w:p>
    <w:p w14:paraId="6C09BC65">
      <w:pPr>
        <w:spacing w:line="420" w:lineRule="exact"/>
        <w:ind w:right="1039"/>
        <w:jc w:val="right"/>
        <w:rPr>
          <w:rFonts w:ascii="黑体" w:hAnsi="黑体" w:eastAsia="黑体"/>
          <w:sz w:val="28"/>
          <w:szCs w:val="28"/>
        </w:rPr>
      </w:pPr>
    </w:p>
    <w:p w14:paraId="1CBA69FC">
      <w:pPr>
        <w:spacing w:line="420" w:lineRule="exact"/>
        <w:jc w:val="center"/>
        <w:rPr>
          <w:rFonts w:ascii="黑体" w:hAnsi="黑体" w:eastAsia="黑体"/>
          <w:sz w:val="28"/>
          <w:szCs w:val="28"/>
        </w:rPr>
      </w:pPr>
    </w:p>
    <w:p w14:paraId="247EAC84">
      <w:pPr>
        <w:spacing w:line="420" w:lineRule="exact"/>
        <w:jc w:val="center"/>
        <w:rPr>
          <w:rFonts w:ascii="黑体" w:hAnsi="黑体" w:eastAsia="黑体"/>
          <w:sz w:val="32"/>
          <w:szCs w:val="32"/>
        </w:rPr>
      </w:pPr>
      <w:r>
        <w:rPr>
          <w:rFonts w:hint="eastAsia" w:ascii="黑体" w:hAnsi="黑体" w:eastAsia="黑体"/>
          <w:sz w:val="32"/>
          <w:szCs w:val="32"/>
        </w:rPr>
        <w:t>填</w:t>
      </w:r>
      <w:r>
        <w:rPr>
          <w:rFonts w:ascii="黑体" w:hAnsi="黑体" w:eastAsia="黑体"/>
          <w:sz w:val="32"/>
          <w:szCs w:val="32"/>
        </w:rPr>
        <w:t xml:space="preserve">  </w:t>
      </w:r>
      <w:r>
        <w:rPr>
          <w:rFonts w:hint="eastAsia" w:ascii="黑体" w:hAnsi="黑体" w:eastAsia="黑体"/>
          <w:sz w:val="32"/>
          <w:szCs w:val="32"/>
        </w:rPr>
        <w:t>表</w:t>
      </w:r>
      <w:r>
        <w:rPr>
          <w:rFonts w:ascii="黑体" w:hAnsi="黑体" w:eastAsia="黑体"/>
          <w:sz w:val="32"/>
          <w:szCs w:val="32"/>
        </w:rPr>
        <w:t xml:space="preserve">  </w:t>
      </w:r>
      <w:r>
        <w:rPr>
          <w:rFonts w:hint="eastAsia" w:ascii="黑体" w:hAnsi="黑体" w:eastAsia="黑体"/>
          <w:sz w:val="32"/>
          <w:szCs w:val="32"/>
        </w:rPr>
        <w:t>说</w:t>
      </w:r>
      <w:r>
        <w:rPr>
          <w:rFonts w:ascii="黑体" w:hAnsi="黑体" w:eastAsia="黑体"/>
          <w:sz w:val="32"/>
          <w:szCs w:val="32"/>
        </w:rPr>
        <w:t xml:space="preserve">  </w:t>
      </w:r>
      <w:r>
        <w:rPr>
          <w:rFonts w:hint="eastAsia" w:ascii="黑体" w:hAnsi="黑体" w:eastAsia="黑体"/>
          <w:sz w:val="32"/>
          <w:szCs w:val="32"/>
        </w:rPr>
        <w:t>明</w:t>
      </w:r>
    </w:p>
    <w:p w14:paraId="5AF503C0">
      <w:pPr>
        <w:spacing w:line="480" w:lineRule="exact"/>
        <w:rPr>
          <w:rFonts w:ascii="黑体" w:hAnsi="黑体" w:eastAsia="黑体"/>
          <w:sz w:val="28"/>
          <w:szCs w:val="28"/>
        </w:rPr>
      </w:pPr>
    </w:p>
    <w:p w14:paraId="5E10B593">
      <w:pPr>
        <w:spacing w:line="480" w:lineRule="exact"/>
        <w:rPr>
          <w:rFonts w:ascii="黑体" w:hAnsi="黑体" w:eastAsia="黑体"/>
          <w:sz w:val="28"/>
          <w:szCs w:val="28"/>
        </w:rPr>
      </w:pPr>
    </w:p>
    <w:p w14:paraId="5C715A99">
      <w:pPr>
        <w:spacing w:line="480" w:lineRule="exact"/>
        <w:ind w:firstLine="570"/>
        <w:rPr>
          <w:rFonts w:ascii="黑体" w:hAnsi="黑体" w:eastAsia="黑体"/>
          <w:sz w:val="28"/>
          <w:szCs w:val="28"/>
        </w:rPr>
      </w:pPr>
      <w:r>
        <w:rPr>
          <w:rFonts w:hint="eastAsia" w:ascii="黑体" w:hAnsi="黑体" w:eastAsia="黑体"/>
          <w:sz w:val="28"/>
          <w:szCs w:val="28"/>
        </w:rPr>
        <w:t>一、本表请如实填写，所列各项内容不能简单标注“见附件”，否则视为不合格；本表电子版中所需签字盖章之处，由本人亲笔签名并加盖所在学校或院系公章后发送至竞赛活动指定的电子邮箱dlmcomp@163.com。</w:t>
      </w:r>
    </w:p>
    <w:p w14:paraId="7FDF8935">
      <w:pPr>
        <w:spacing w:line="480" w:lineRule="exact"/>
        <w:ind w:firstLine="570"/>
        <w:rPr>
          <w:rFonts w:ascii="黑体" w:hAnsi="黑体" w:eastAsia="黑体"/>
          <w:sz w:val="28"/>
          <w:szCs w:val="28"/>
        </w:rPr>
      </w:pPr>
      <w:r>
        <w:rPr>
          <w:rFonts w:hint="eastAsia" w:ascii="黑体" w:hAnsi="黑体" w:eastAsia="黑体"/>
          <w:sz w:val="28"/>
          <w:szCs w:val="28"/>
        </w:rPr>
        <w:t>二、封面上方“项目编号”框申请人不填，其他栏目由申请人填写。</w:t>
      </w:r>
    </w:p>
    <w:p w14:paraId="59C676CB">
      <w:pPr>
        <w:spacing w:line="480" w:lineRule="exact"/>
        <w:ind w:firstLine="570"/>
        <w:rPr>
          <w:rFonts w:ascii="黑体" w:hAnsi="黑体" w:eastAsia="黑体"/>
          <w:sz w:val="28"/>
          <w:szCs w:val="28"/>
        </w:rPr>
      </w:pPr>
      <w:r>
        <w:rPr>
          <w:rFonts w:hint="eastAsia" w:ascii="黑体" w:hAnsi="黑体" w:eastAsia="黑体"/>
          <w:sz w:val="28"/>
          <w:szCs w:val="28"/>
        </w:rPr>
        <w:t>三、填表字体用小四号宋体，单倍行距。</w:t>
      </w:r>
    </w:p>
    <w:p w14:paraId="5468A1E3">
      <w:pPr>
        <w:spacing w:line="480" w:lineRule="exact"/>
        <w:ind w:firstLine="570"/>
        <w:rPr>
          <w:rFonts w:hint="eastAsia" w:eastAsia="黑体"/>
          <w:sz w:val="32"/>
        </w:rPr>
      </w:pPr>
      <w:r>
        <w:rPr>
          <w:rFonts w:hint="eastAsia" w:ascii="黑体" w:hAnsi="黑体" w:eastAsia="黑体"/>
          <w:color w:val="000000" w:themeColor="text1"/>
          <w:sz w:val="28"/>
          <w:szCs w:val="28"/>
          <w14:textFill>
            <w14:solidFill>
              <w14:schemeClr w14:val="tx1"/>
            </w14:solidFill>
          </w14:textFill>
        </w:rPr>
        <w:t>四、所附材料另建</w:t>
      </w:r>
      <w:r>
        <w:rPr>
          <w:rFonts w:hint="eastAsia" w:ascii="黑体" w:hAnsi="黑体" w:eastAsia="黑体"/>
          <w:sz w:val="28"/>
          <w:szCs w:val="28"/>
        </w:rPr>
        <w:t>Word文档，用小四号宋体排版附于申请评审书后。</w:t>
      </w:r>
    </w:p>
    <w:p w14:paraId="7D394ADE">
      <w:pPr>
        <w:spacing w:line="480" w:lineRule="auto"/>
        <w:rPr>
          <w:rFonts w:eastAsia="黑体"/>
          <w:sz w:val="32"/>
          <w:lang w:eastAsia="zh-TW"/>
        </w:rPr>
      </w:pPr>
      <w:r>
        <w:rPr>
          <w:rFonts w:hint="eastAsia" w:eastAsia="黑体"/>
          <w:sz w:val="32"/>
        </w:rPr>
        <w:t>一、基本情况</w:t>
      </w:r>
    </w:p>
    <w:tbl>
      <w:tblPr>
        <w:tblStyle w:val="8"/>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28"/>
        <w:gridCol w:w="1444"/>
        <w:gridCol w:w="1444"/>
        <w:gridCol w:w="148"/>
        <w:gridCol w:w="1479"/>
        <w:gridCol w:w="1349"/>
        <w:gridCol w:w="1230"/>
      </w:tblGrid>
      <w:tr w14:paraId="5CA01C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60" w:hRule="atLeast"/>
        </w:trPr>
        <w:tc>
          <w:tcPr>
            <w:tcW w:w="847" w:type="pct"/>
            <w:vAlign w:val="center"/>
          </w:tcPr>
          <w:p w14:paraId="7B3B59E3">
            <w:pPr>
              <w:spacing w:line="360" w:lineRule="auto"/>
              <w:jc w:val="center"/>
              <w:rPr>
                <w:rFonts w:ascii="宋体" w:hAnsi="宋体"/>
                <w:sz w:val="24"/>
                <w:szCs w:val="24"/>
              </w:rPr>
            </w:pPr>
            <w:r>
              <w:rPr>
                <w:rFonts w:hint="eastAsia" w:ascii="宋体" w:hAnsi="宋体"/>
                <w:sz w:val="24"/>
                <w:szCs w:val="24"/>
              </w:rPr>
              <w:t>项目名称</w:t>
            </w:r>
          </w:p>
        </w:tc>
        <w:tc>
          <w:tcPr>
            <w:tcW w:w="4152" w:type="pct"/>
            <w:gridSpan w:val="6"/>
            <w:vAlign w:val="center"/>
          </w:tcPr>
          <w:p w14:paraId="40CB010D">
            <w:pPr>
              <w:pStyle w:val="18"/>
              <w:widowControl/>
              <w:kinsoku w:val="0"/>
              <w:autoSpaceDE w:val="0"/>
              <w:autoSpaceDN w:val="0"/>
              <w:adjustRightInd w:val="0"/>
              <w:snapToGrid w:val="0"/>
              <w:spacing w:before="91" w:line="219" w:lineRule="auto"/>
              <w:jc w:val="center"/>
              <w:textAlignment w:val="baseline"/>
              <w:rPr>
                <w:rFonts w:ascii="宋体" w:hAnsi="宋体"/>
                <w:sz w:val="24"/>
                <w:szCs w:val="24"/>
              </w:rPr>
            </w:pPr>
            <w:r>
              <w:rPr>
                <w:rFonts w:hint="eastAsia"/>
                <w:b/>
                <w:bCs/>
                <w:snapToGrid w:val="0"/>
                <w:color w:val="000000"/>
                <w:spacing w:val="-3"/>
                <w:kern w:val="0"/>
                <w:sz w:val="28"/>
                <w:szCs w:val="28"/>
              </w:rPr>
              <w:t>基于DeepSeek-R1的作品实质性相似研判系统</w:t>
            </w:r>
          </w:p>
        </w:tc>
      </w:tr>
      <w:tr w14:paraId="235063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6" w:hRule="atLeast"/>
        </w:trPr>
        <w:tc>
          <w:tcPr>
            <w:tcW w:w="847" w:type="pct"/>
            <w:vMerge w:val="restart"/>
            <w:vAlign w:val="center"/>
          </w:tcPr>
          <w:p w14:paraId="59147B22">
            <w:pPr>
              <w:spacing w:line="360" w:lineRule="auto"/>
              <w:jc w:val="center"/>
              <w:rPr>
                <w:rFonts w:ascii="宋体" w:hAnsi="宋体"/>
                <w:sz w:val="24"/>
                <w:szCs w:val="24"/>
                <w:lang w:eastAsia="zh-TW"/>
              </w:rPr>
            </w:pPr>
            <w:r>
              <w:rPr>
                <w:rFonts w:hint="eastAsia" w:ascii="宋体" w:hAnsi="宋体"/>
                <w:sz w:val="24"/>
                <w:szCs w:val="24"/>
                <w:lang w:eastAsia="zh-TW"/>
              </w:rPr>
              <w:t>负责人</w:t>
            </w:r>
            <w:r>
              <w:rPr>
                <w:rFonts w:ascii="宋体" w:hAnsi="宋体"/>
                <w:sz w:val="24"/>
                <w:szCs w:val="24"/>
                <w:lang w:eastAsia="zh-TW"/>
              </w:rPr>
              <w:br w:type="textWrapping"/>
            </w:r>
            <w:r>
              <w:rPr>
                <w:rFonts w:hint="eastAsia" w:ascii="宋体" w:hAnsi="宋体"/>
                <w:sz w:val="24"/>
                <w:szCs w:val="24"/>
                <w:lang w:eastAsia="zh-TW"/>
              </w:rPr>
              <w:t>（一人）</w:t>
            </w:r>
          </w:p>
        </w:tc>
        <w:tc>
          <w:tcPr>
            <w:tcW w:w="856" w:type="pct"/>
            <w:vAlign w:val="center"/>
          </w:tcPr>
          <w:p w14:paraId="79D15DF1">
            <w:pPr>
              <w:spacing w:line="360" w:lineRule="auto"/>
              <w:jc w:val="center"/>
              <w:rPr>
                <w:rFonts w:ascii="宋体" w:hAnsi="宋体"/>
                <w:sz w:val="24"/>
                <w:szCs w:val="24"/>
                <w:lang w:eastAsia="zh-TW"/>
              </w:rPr>
            </w:pPr>
            <w:r>
              <w:rPr>
                <w:rFonts w:hint="eastAsia" w:ascii="宋体" w:hAnsi="宋体"/>
                <w:sz w:val="24"/>
                <w:szCs w:val="24"/>
              </w:rPr>
              <w:t>姓名</w:t>
            </w:r>
          </w:p>
        </w:tc>
        <w:tc>
          <w:tcPr>
            <w:tcW w:w="941" w:type="pct"/>
            <w:gridSpan w:val="2"/>
            <w:vAlign w:val="center"/>
          </w:tcPr>
          <w:p w14:paraId="02AE75BD">
            <w:pPr>
              <w:spacing w:line="360" w:lineRule="auto"/>
              <w:jc w:val="center"/>
              <w:rPr>
                <w:rFonts w:hint="eastAsia" w:ascii="宋体" w:hAnsi="宋体" w:eastAsia="宋体"/>
                <w:sz w:val="24"/>
                <w:szCs w:val="24"/>
                <w:lang w:val="en-US" w:eastAsia="zh-CN"/>
              </w:rPr>
            </w:pPr>
            <w:r>
              <w:rPr>
                <w:rFonts w:hint="eastAsia" w:ascii="宋体" w:hAnsi="宋体"/>
                <w:sz w:val="24"/>
                <w:szCs w:val="24"/>
                <w:lang w:val="en-US" w:eastAsia="zh-CN"/>
              </w:rPr>
              <w:t>陈家更</w:t>
            </w:r>
          </w:p>
        </w:tc>
        <w:tc>
          <w:tcPr>
            <w:tcW w:w="850" w:type="pct"/>
            <w:vAlign w:val="center"/>
          </w:tcPr>
          <w:p w14:paraId="3F065635">
            <w:pPr>
              <w:spacing w:line="360" w:lineRule="auto"/>
              <w:jc w:val="center"/>
              <w:rPr>
                <w:rFonts w:ascii="宋体" w:hAnsi="宋体"/>
                <w:sz w:val="24"/>
                <w:szCs w:val="24"/>
                <w:lang w:eastAsia="zh-TW"/>
              </w:rPr>
            </w:pPr>
            <w:r>
              <w:rPr>
                <w:rFonts w:hint="eastAsia" w:ascii="宋体" w:hAnsi="宋体"/>
                <w:sz w:val="24"/>
                <w:szCs w:val="24"/>
                <w:lang w:eastAsia="zh-TW"/>
              </w:rPr>
              <w:t>电子邮箱</w:t>
            </w:r>
          </w:p>
        </w:tc>
        <w:tc>
          <w:tcPr>
            <w:tcW w:w="1504" w:type="pct"/>
            <w:gridSpan w:val="2"/>
            <w:vAlign w:val="center"/>
          </w:tcPr>
          <w:p w14:paraId="0EDE857B">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3025583636@qq.com</w:t>
            </w:r>
          </w:p>
        </w:tc>
      </w:tr>
      <w:tr w14:paraId="474FDC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 w:hRule="atLeast"/>
        </w:trPr>
        <w:tc>
          <w:tcPr>
            <w:tcW w:w="847" w:type="pct"/>
            <w:vMerge w:val="continue"/>
            <w:textDirection w:val="tbRlV"/>
            <w:vAlign w:val="center"/>
          </w:tcPr>
          <w:p w14:paraId="4C105055">
            <w:pPr>
              <w:spacing w:line="360" w:lineRule="auto"/>
              <w:jc w:val="center"/>
              <w:rPr>
                <w:rFonts w:ascii="宋体" w:hAnsi="宋体"/>
                <w:sz w:val="24"/>
                <w:szCs w:val="24"/>
                <w:lang w:eastAsia="zh-TW"/>
              </w:rPr>
            </w:pPr>
          </w:p>
        </w:tc>
        <w:tc>
          <w:tcPr>
            <w:tcW w:w="856" w:type="pct"/>
            <w:vAlign w:val="center"/>
          </w:tcPr>
          <w:p w14:paraId="48DBD9F4">
            <w:pPr>
              <w:spacing w:line="360" w:lineRule="auto"/>
              <w:jc w:val="center"/>
              <w:rPr>
                <w:rFonts w:ascii="宋体" w:hAnsi="宋体"/>
                <w:sz w:val="24"/>
                <w:szCs w:val="24"/>
                <w:lang w:eastAsia="zh-TW"/>
              </w:rPr>
            </w:pPr>
            <w:r>
              <w:rPr>
                <w:rFonts w:hint="eastAsia" w:ascii="宋体" w:hAnsi="宋体"/>
                <w:sz w:val="24"/>
                <w:szCs w:val="24"/>
              </w:rPr>
              <w:t>专业和年级</w:t>
            </w:r>
          </w:p>
        </w:tc>
        <w:tc>
          <w:tcPr>
            <w:tcW w:w="941" w:type="pct"/>
            <w:gridSpan w:val="2"/>
            <w:vAlign w:val="center"/>
          </w:tcPr>
          <w:p w14:paraId="25E17785">
            <w:pPr>
              <w:jc w:val="center"/>
              <w:rPr>
                <w:rFonts w:hint="default" w:ascii="宋体" w:hAnsi="宋体" w:eastAsia="宋体"/>
                <w:sz w:val="24"/>
                <w:szCs w:val="24"/>
                <w:lang w:val="en-US" w:eastAsia="zh-CN"/>
              </w:rPr>
            </w:pPr>
            <w:r>
              <w:rPr>
                <w:rFonts w:hint="eastAsia" w:ascii="Times New Roman" w:hAnsi="Times New Roman"/>
                <w:sz w:val="21"/>
                <w:szCs w:val="21"/>
                <w:lang w:val="en-US" w:eastAsia="zh-CN"/>
              </w:rPr>
              <w:t>23级知识产权（</w:t>
            </w:r>
            <w:r>
              <w:rPr>
                <w:rFonts w:ascii="Times New Roman" w:hAnsi="Times New Roman"/>
                <w:sz w:val="21"/>
                <w:szCs w:val="21"/>
              </w:rPr>
              <w:t>辅修大数据）</w:t>
            </w:r>
          </w:p>
        </w:tc>
        <w:tc>
          <w:tcPr>
            <w:tcW w:w="850" w:type="pct"/>
            <w:vAlign w:val="center"/>
          </w:tcPr>
          <w:p w14:paraId="702E7E61">
            <w:pPr>
              <w:spacing w:line="360" w:lineRule="auto"/>
              <w:jc w:val="center"/>
              <w:rPr>
                <w:rFonts w:ascii="宋体" w:hAnsi="宋体"/>
                <w:sz w:val="24"/>
                <w:szCs w:val="24"/>
                <w:lang w:eastAsia="zh-TW"/>
              </w:rPr>
            </w:pPr>
            <w:r>
              <w:rPr>
                <w:rFonts w:hint="eastAsia" w:ascii="宋体" w:hAnsi="宋体"/>
                <w:sz w:val="24"/>
                <w:szCs w:val="24"/>
              </w:rPr>
              <w:t>联系电话</w:t>
            </w:r>
          </w:p>
        </w:tc>
        <w:tc>
          <w:tcPr>
            <w:tcW w:w="1504" w:type="pct"/>
            <w:gridSpan w:val="2"/>
            <w:vAlign w:val="center"/>
          </w:tcPr>
          <w:p w14:paraId="3C9B2FA6">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15263553008</w:t>
            </w:r>
          </w:p>
        </w:tc>
      </w:tr>
      <w:tr w14:paraId="7ABC67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1" w:hRule="atLeast"/>
        </w:trPr>
        <w:tc>
          <w:tcPr>
            <w:tcW w:w="847" w:type="pct"/>
            <w:vMerge w:val="continue"/>
            <w:vAlign w:val="center"/>
          </w:tcPr>
          <w:p w14:paraId="46A75BB4">
            <w:pPr>
              <w:spacing w:line="360" w:lineRule="auto"/>
              <w:jc w:val="center"/>
              <w:rPr>
                <w:rFonts w:ascii="宋体" w:hAnsi="宋体"/>
                <w:sz w:val="24"/>
                <w:szCs w:val="24"/>
                <w:lang w:eastAsia="zh-TW"/>
              </w:rPr>
            </w:pPr>
          </w:p>
        </w:tc>
        <w:tc>
          <w:tcPr>
            <w:tcW w:w="856" w:type="pct"/>
            <w:vAlign w:val="center"/>
          </w:tcPr>
          <w:p w14:paraId="7590E8A5">
            <w:pPr>
              <w:spacing w:line="360" w:lineRule="auto"/>
              <w:jc w:val="center"/>
              <w:rPr>
                <w:rFonts w:ascii="宋体" w:hAnsi="宋体"/>
                <w:sz w:val="24"/>
                <w:szCs w:val="24"/>
              </w:rPr>
            </w:pPr>
            <w:r>
              <w:rPr>
                <w:rFonts w:hint="eastAsia" w:ascii="宋体" w:hAnsi="宋体"/>
                <w:sz w:val="24"/>
                <w:szCs w:val="24"/>
                <w:lang w:eastAsia="zh-TW"/>
              </w:rPr>
              <w:t>学校全称</w:t>
            </w:r>
          </w:p>
        </w:tc>
        <w:tc>
          <w:tcPr>
            <w:tcW w:w="3296" w:type="pct"/>
            <w:gridSpan w:val="5"/>
            <w:vAlign w:val="center"/>
          </w:tcPr>
          <w:p w14:paraId="49C273C5">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武汉工程大学</w:t>
            </w:r>
          </w:p>
        </w:tc>
      </w:tr>
      <w:tr w14:paraId="1D2DB5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 w:hRule="atLeast"/>
        </w:trPr>
        <w:tc>
          <w:tcPr>
            <w:tcW w:w="847" w:type="pct"/>
            <w:vMerge w:val="restart"/>
            <w:vAlign w:val="center"/>
          </w:tcPr>
          <w:p w14:paraId="497EA123">
            <w:pPr>
              <w:spacing w:line="360" w:lineRule="auto"/>
              <w:ind w:right="113"/>
              <w:jc w:val="center"/>
              <w:rPr>
                <w:rFonts w:ascii="宋体" w:hAnsi="宋体"/>
                <w:sz w:val="24"/>
                <w:szCs w:val="24"/>
              </w:rPr>
            </w:pPr>
            <w:r>
              <w:rPr>
                <w:rFonts w:hint="eastAsia" w:ascii="宋体" w:hAnsi="宋体"/>
                <w:sz w:val="24"/>
                <w:szCs w:val="24"/>
              </w:rPr>
              <w:t>团队成员</w:t>
            </w:r>
            <w:r>
              <w:rPr>
                <w:rFonts w:ascii="宋体" w:hAnsi="宋体"/>
                <w:sz w:val="24"/>
                <w:szCs w:val="24"/>
              </w:rPr>
              <w:br w:type="textWrapping"/>
            </w:r>
            <w:r>
              <w:rPr>
                <w:rFonts w:hint="eastAsia" w:ascii="宋体" w:hAnsi="宋体"/>
                <w:sz w:val="24"/>
                <w:szCs w:val="24"/>
              </w:rPr>
              <w:t>（不超过五人）</w:t>
            </w:r>
          </w:p>
        </w:tc>
        <w:tc>
          <w:tcPr>
            <w:tcW w:w="856" w:type="pct"/>
            <w:vAlign w:val="center"/>
          </w:tcPr>
          <w:p w14:paraId="7E4D7B90">
            <w:pPr>
              <w:spacing w:line="360" w:lineRule="auto"/>
              <w:jc w:val="center"/>
              <w:rPr>
                <w:rFonts w:ascii="宋体" w:hAnsi="宋体"/>
                <w:sz w:val="24"/>
                <w:szCs w:val="24"/>
                <w:lang w:eastAsia="zh-TW"/>
              </w:rPr>
            </w:pPr>
            <w:r>
              <w:rPr>
                <w:rFonts w:hint="eastAsia" w:ascii="宋体" w:hAnsi="宋体"/>
                <w:sz w:val="24"/>
                <w:szCs w:val="24"/>
                <w:lang w:eastAsia="zh-TW"/>
              </w:rPr>
              <w:t>姓名</w:t>
            </w:r>
          </w:p>
        </w:tc>
        <w:tc>
          <w:tcPr>
            <w:tcW w:w="856" w:type="pct"/>
            <w:vAlign w:val="center"/>
          </w:tcPr>
          <w:p w14:paraId="2AC33717">
            <w:pPr>
              <w:spacing w:line="360" w:lineRule="auto"/>
              <w:jc w:val="center"/>
              <w:rPr>
                <w:rFonts w:ascii="宋体" w:hAnsi="宋体"/>
                <w:sz w:val="24"/>
                <w:szCs w:val="24"/>
              </w:rPr>
            </w:pPr>
            <w:r>
              <w:rPr>
                <w:rFonts w:hint="eastAsia" w:ascii="宋体" w:hAnsi="宋体"/>
                <w:sz w:val="24"/>
                <w:szCs w:val="24"/>
              </w:rPr>
              <w:t>学校</w:t>
            </w:r>
          </w:p>
        </w:tc>
        <w:tc>
          <w:tcPr>
            <w:tcW w:w="935" w:type="pct"/>
            <w:gridSpan w:val="2"/>
            <w:vAlign w:val="center"/>
          </w:tcPr>
          <w:p w14:paraId="77C7E5A8">
            <w:pPr>
              <w:spacing w:line="360" w:lineRule="auto"/>
              <w:jc w:val="center"/>
              <w:rPr>
                <w:rFonts w:ascii="宋体" w:hAnsi="宋体"/>
                <w:sz w:val="24"/>
                <w:szCs w:val="24"/>
              </w:rPr>
            </w:pPr>
            <w:r>
              <w:rPr>
                <w:rFonts w:hint="eastAsia" w:ascii="宋体" w:hAnsi="宋体"/>
                <w:sz w:val="24"/>
                <w:szCs w:val="24"/>
              </w:rPr>
              <w:t>专业和年级</w:t>
            </w:r>
          </w:p>
        </w:tc>
        <w:tc>
          <w:tcPr>
            <w:tcW w:w="775" w:type="pct"/>
            <w:vAlign w:val="center"/>
          </w:tcPr>
          <w:p w14:paraId="7235EBE1">
            <w:pPr>
              <w:spacing w:line="360" w:lineRule="auto"/>
              <w:jc w:val="center"/>
              <w:rPr>
                <w:rFonts w:ascii="宋体" w:hAnsi="宋体"/>
                <w:sz w:val="24"/>
                <w:szCs w:val="24"/>
                <w:lang w:eastAsia="zh-TW"/>
              </w:rPr>
            </w:pPr>
            <w:r>
              <w:rPr>
                <w:rFonts w:hint="eastAsia" w:ascii="宋体" w:hAnsi="宋体"/>
                <w:sz w:val="24"/>
                <w:szCs w:val="24"/>
              </w:rPr>
              <w:t>分工</w:t>
            </w:r>
          </w:p>
        </w:tc>
        <w:tc>
          <w:tcPr>
            <w:tcW w:w="729" w:type="pct"/>
            <w:vAlign w:val="center"/>
          </w:tcPr>
          <w:p w14:paraId="205FD114">
            <w:pPr>
              <w:spacing w:line="360" w:lineRule="auto"/>
              <w:jc w:val="center"/>
              <w:rPr>
                <w:rFonts w:ascii="宋体" w:hAnsi="宋体"/>
                <w:sz w:val="24"/>
                <w:szCs w:val="24"/>
                <w:lang w:eastAsia="zh-TW"/>
              </w:rPr>
            </w:pPr>
            <w:r>
              <w:rPr>
                <w:rFonts w:hint="eastAsia" w:ascii="宋体" w:hAnsi="宋体"/>
                <w:sz w:val="24"/>
                <w:szCs w:val="24"/>
              </w:rPr>
              <w:t>联系电话</w:t>
            </w:r>
          </w:p>
        </w:tc>
      </w:tr>
      <w:tr w14:paraId="6047F8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 w:hRule="atLeast"/>
        </w:trPr>
        <w:tc>
          <w:tcPr>
            <w:tcW w:w="847" w:type="pct"/>
            <w:vMerge w:val="continue"/>
            <w:vAlign w:val="center"/>
          </w:tcPr>
          <w:p w14:paraId="19385E14">
            <w:pPr>
              <w:spacing w:line="360" w:lineRule="auto"/>
              <w:ind w:left="113" w:right="113"/>
              <w:jc w:val="center"/>
              <w:rPr>
                <w:rFonts w:ascii="宋体" w:hAnsi="宋体"/>
                <w:sz w:val="24"/>
                <w:szCs w:val="24"/>
              </w:rPr>
            </w:pPr>
          </w:p>
        </w:tc>
        <w:tc>
          <w:tcPr>
            <w:tcW w:w="856" w:type="pct"/>
            <w:vAlign w:val="center"/>
          </w:tcPr>
          <w:p w14:paraId="4E50D036">
            <w:pPr>
              <w:spacing w:line="360" w:lineRule="auto"/>
              <w:jc w:val="center"/>
              <w:rPr>
                <w:rFonts w:hint="eastAsia" w:ascii="宋体" w:hAnsi="宋体" w:eastAsia="宋体"/>
                <w:sz w:val="24"/>
                <w:szCs w:val="24"/>
                <w:lang w:val="en-US" w:eastAsia="zh-CN"/>
              </w:rPr>
            </w:pPr>
            <w:r>
              <w:rPr>
                <w:rFonts w:hint="eastAsia" w:ascii="宋体" w:hAnsi="宋体"/>
                <w:sz w:val="24"/>
                <w:szCs w:val="24"/>
                <w:lang w:val="en-US" w:eastAsia="zh-CN"/>
              </w:rPr>
              <w:t>陈家更</w:t>
            </w:r>
          </w:p>
        </w:tc>
        <w:tc>
          <w:tcPr>
            <w:tcW w:w="856" w:type="pct"/>
            <w:vAlign w:val="center"/>
          </w:tcPr>
          <w:p w14:paraId="4BA9AD13">
            <w:pPr>
              <w:spacing w:line="360" w:lineRule="auto"/>
              <w:jc w:val="center"/>
              <w:rPr>
                <w:rFonts w:hint="eastAsia" w:ascii="宋体" w:hAnsi="宋体" w:eastAsia="宋体"/>
                <w:sz w:val="24"/>
                <w:szCs w:val="24"/>
                <w:lang w:val="en-US" w:eastAsia="zh-CN"/>
              </w:rPr>
            </w:pPr>
            <w:r>
              <w:rPr>
                <w:rFonts w:hint="eastAsia" w:ascii="宋体" w:hAnsi="宋体"/>
                <w:sz w:val="20"/>
                <w:szCs w:val="20"/>
                <w:lang w:val="en-US" w:eastAsia="zh-CN"/>
              </w:rPr>
              <w:t>武汉工程大学</w:t>
            </w:r>
          </w:p>
        </w:tc>
        <w:tc>
          <w:tcPr>
            <w:tcW w:w="935" w:type="pct"/>
            <w:gridSpan w:val="2"/>
            <w:vAlign w:val="center"/>
          </w:tcPr>
          <w:p w14:paraId="44CF1E12">
            <w:pPr>
              <w:jc w:val="center"/>
              <w:rPr>
                <w:rFonts w:ascii="Times New Roman" w:hAnsi="Times New Roman"/>
                <w:sz w:val="21"/>
                <w:szCs w:val="21"/>
              </w:rPr>
            </w:pPr>
            <w:r>
              <w:rPr>
                <w:rFonts w:hint="eastAsia" w:ascii="Times New Roman" w:hAnsi="Times New Roman"/>
                <w:sz w:val="21"/>
                <w:szCs w:val="21"/>
                <w:lang w:val="en-US" w:eastAsia="zh-CN"/>
              </w:rPr>
              <w:t>23级知识产权（</w:t>
            </w:r>
            <w:r>
              <w:rPr>
                <w:rFonts w:ascii="Times New Roman" w:hAnsi="Times New Roman"/>
                <w:sz w:val="21"/>
                <w:szCs w:val="21"/>
              </w:rPr>
              <w:t>辅修大数据）</w:t>
            </w:r>
          </w:p>
        </w:tc>
        <w:tc>
          <w:tcPr>
            <w:tcW w:w="1321" w:type="dxa"/>
            <w:vAlign w:val="center"/>
          </w:tcPr>
          <w:p w14:paraId="123D0F15">
            <w:pPr>
              <w:jc w:val="center"/>
              <w:rPr>
                <w:sz w:val="21"/>
                <w:szCs w:val="21"/>
              </w:rPr>
            </w:pPr>
            <w:r>
              <w:rPr>
                <w:sz w:val="21"/>
                <w:szCs w:val="21"/>
              </w:rPr>
              <w:t>负责构建项目框架与可行性分析</w:t>
            </w:r>
          </w:p>
        </w:tc>
        <w:tc>
          <w:tcPr>
            <w:tcW w:w="729" w:type="pct"/>
            <w:vAlign w:val="center"/>
          </w:tcPr>
          <w:p w14:paraId="115B6FF0">
            <w:pPr>
              <w:spacing w:line="360" w:lineRule="auto"/>
              <w:jc w:val="center"/>
              <w:rPr>
                <w:rFonts w:hint="default" w:ascii="宋体" w:hAnsi="宋体" w:eastAsia="宋体"/>
                <w:sz w:val="24"/>
                <w:szCs w:val="24"/>
                <w:lang w:val="en-US" w:eastAsia="zh-CN"/>
              </w:rPr>
            </w:pPr>
            <w:r>
              <w:rPr>
                <w:rFonts w:hint="eastAsia" w:ascii="宋体" w:hAnsi="宋体"/>
                <w:sz w:val="18"/>
                <w:szCs w:val="18"/>
                <w:lang w:val="en-US" w:eastAsia="zh-CN"/>
              </w:rPr>
              <w:t>15263553008</w:t>
            </w:r>
          </w:p>
        </w:tc>
      </w:tr>
      <w:tr w14:paraId="200E11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6" w:hRule="atLeast"/>
        </w:trPr>
        <w:tc>
          <w:tcPr>
            <w:tcW w:w="847" w:type="pct"/>
            <w:vMerge w:val="continue"/>
            <w:vAlign w:val="center"/>
          </w:tcPr>
          <w:p w14:paraId="21529564">
            <w:pPr>
              <w:spacing w:line="360" w:lineRule="auto"/>
              <w:ind w:left="113" w:right="113"/>
              <w:jc w:val="center"/>
              <w:rPr>
                <w:rFonts w:ascii="宋体" w:hAnsi="宋体"/>
                <w:sz w:val="24"/>
                <w:szCs w:val="24"/>
              </w:rPr>
            </w:pPr>
          </w:p>
        </w:tc>
        <w:tc>
          <w:tcPr>
            <w:tcW w:w="856" w:type="pct"/>
            <w:vAlign w:val="center"/>
          </w:tcPr>
          <w:p w14:paraId="4738FDD5">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邢智豪</w:t>
            </w:r>
          </w:p>
        </w:tc>
        <w:tc>
          <w:tcPr>
            <w:tcW w:w="856" w:type="pct"/>
            <w:vAlign w:val="center"/>
          </w:tcPr>
          <w:p w14:paraId="032CD913">
            <w:pPr>
              <w:spacing w:line="360" w:lineRule="auto"/>
              <w:jc w:val="center"/>
              <w:rPr>
                <w:rFonts w:ascii="宋体" w:hAnsi="宋体"/>
                <w:sz w:val="24"/>
                <w:szCs w:val="24"/>
              </w:rPr>
            </w:pPr>
            <w:r>
              <w:rPr>
                <w:rFonts w:hint="eastAsia" w:ascii="宋体" w:hAnsi="宋体"/>
                <w:sz w:val="20"/>
                <w:szCs w:val="20"/>
                <w:lang w:val="en-US" w:eastAsia="zh-CN"/>
              </w:rPr>
              <w:t>武汉工程大学</w:t>
            </w:r>
          </w:p>
        </w:tc>
        <w:tc>
          <w:tcPr>
            <w:tcW w:w="935" w:type="pct"/>
            <w:gridSpan w:val="2"/>
            <w:vAlign w:val="center"/>
          </w:tcPr>
          <w:p w14:paraId="054DDC74">
            <w:pPr>
              <w:jc w:val="center"/>
              <w:rPr>
                <w:rFonts w:ascii="Times New Roman" w:hAnsi="Times New Roman"/>
                <w:sz w:val="21"/>
                <w:szCs w:val="21"/>
                <w:lang w:eastAsia="zh-TW"/>
              </w:rPr>
            </w:pPr>
            <w:r>
              <w:rPr>
                <w:rFonts w:hint="eastAsia" w:ascii="Times New Roman" w:hAnsi="Times New Roman"/>
                <w:sz w:val="21"/>
                <w:szCs w:val="21"/>
                <w:lang w:val="en-US" w:eastAsia="zh-CN"/>
              </w:rPr>
              <w:t>23级知识产权（</w:t>
            </w:r>
            <w:r>
              <w:rPr>
                <w:rFonts w:ascii="Times New Roman" w:hAnsi="Times New Roman"/>
                <w:sz w:val="21"/>
                <w:szCs w:val="21"/>
              </w:rPr>
              <w:t>辅修大数据）</w:t>
            </w:r>
          </w:p>
        </w:tc>
        <w:tc>
          <w:tcPr>
            <w:tcW w:w="1321" w:type="dxa"/>
            <w:vAlign w:val="center"/>
          </w:tcPr>
          <w:p w14:paraId="7B970B3C">
            <w:pPr>
              <w:jc w:val="center"/>
              <w:rPr>
                <w:sz w:val="21"/>
                <w:szCs w:val="21"/>
              </w:rPr>
            </w:pPr>
            <w:r>
              <w:rPr>
                <w:sz w:val="21"/>
                <w:szCs w:val="21"/>
              </w:rPr>
              <w:t>分析预测项目研究成果</w:t>
            </w:r>
          </w:p>
        </w:tc>
        <w:tc>
          <w:tcPr>
            <w:tcW w:w="729" w:type="pct"/>
            <w:vAlign w:val="center"/>
          </w:tcPr>
          <w:p w14:paraId="3AF92F71">
            <w:pPr>
              <w:spacing w:line="360" w:lineRule="auto"/>
              <w:jc w:val="center"/>
              <w:rPr>
                <w:rFonts w:hint="eastAsia" w:ascii="宋体" w:hAnsi="宋体" w:cs="Times New Roman"/>
                <w:sz w:val="18"/>
                <w:szCs w:val="18"/>
                <w:lang w:val="en-US" w:eastAsia="zh-CN"/>
              </w:rPr>
            </w:pPr>
            <w:r>
              <w:rPr>
                <w:rFonts w:hint="eastAsia" w:ascii="宋体" w:hAnsi="宋体" w:cs="Times New Roman"/>
                <w:sz w:val="18"/>
                <w:szCs w:val="18"/>
                <w:lang w:val="en-US" w:eastAsia="zh-CN"/>
              </w:rPr>
              <w:t>13583918150</w:t>
            </w:r>
          </w:p>
        </w:tc>
      </w:tr>
      <w:tr w14:paraId="29B535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6" w:hRule="atLeast"/>
        </w:trPr>
        <w:tc>
          <w:tcPr>
            <w:tcW w:w="847" w:type="pct"/>
            <w:vMerge w:val="continue"/>
            <w:vAlign w:val="center"/>
          </w:tcPr>
          <w:p w14:paraId="763E17A6">
            <w:pPr>
              <w:spacing w:line="360" w:lineRule="auto"/>
              <w:ind w:left="113" w:right="113"/>
              <w:jc w:val="center"/>
              <w:rPr>
                <w:rFonts w:ascii="宋体" w:hAnsi="宋体"/>
                <w:sz w:val="24"/>
                <w:szCs w:val="24"/>
              </w:rPr>
            </w:pPr>
          </w:p>
        </w:tc>
        <w:tc>
          <w:tcPr>
            <w:tcW w:w="856" w:type="pct"/>
            <w:vAlign w:val="center"/>
          </w:tcPr>
          <w:p w14:paraId="326E07E0">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张斐然</w:t>
            </w:r>
          </w:p>
        </w:tc>
        <w:tc>
          <w:tcPr>
            <w:tcW w:w="856" w:type="pct"/>
            <w:vAlign w:val="center"/>
          </w:tcPr>
          <w:p w14:paraId="6975200E">
            <w:pPr>
              <w:spacing w:line="360" w:lineRule="auto"/>
              <w:jc w:val="center"/>
              <w:rPr>
                <w:rFonts w:ascii="宋体" w:hAnsi="宋体"/>
                <w:sz w:val="24"/>
                <w:szCs w:val="24"/>
              </w:rPr>
            </w:pPr>
            <w:r>
              <w:rPr>
                <w:rFonts w:hint="eastAsia" w:ascii="宋体" w:hAnsi="宋体"/>
                <w:sz w:val="20"/>
                <w:szCs w:val="20"/>
                <w:lang w:val="en-US" w:eastAsia="zh-CN"/>
              </w:rPr>
              <w:t>武汉工程大学</w:t>
            </w:r>
          </w:p>
        </w:tc>
        <w:tc>
          <w:tcPr>
            <w:tcW w:w="935" w:type="pct"/>
            <w:gridSpan w:val="2"/>
            <w:vAlign w:val="center"/>
          </w:tcPr>
          <w:p w14:paraId="73ED2373">
            <w:pPr>
              <w:jc w:val="center"/>
              <w:rPr>
                <w:rFonts w:ascii="Times New Roman" w:hAnsi="Times New Roman"/>
                <w:sz w:val="21"/>
                <w:szCs w:val="21"/>
                <w:lang w:eastAsia="zh-TW"/>
              </w:rPr>
            </w:pPr>
            <w:r>
              <w:rPr>
                <w:rFonts w:hint="eastAsia" w:ascii="Times New Roman" w:hAnsi="Times New Roman"/>
                <w:sz w:val="21"/>
                <w:szCs w:val="21"/>
                <w:lang w:val="en-US" w:eastAsia="zh-CN"/>
              </w:rPr>
              <w:t>23级知识产权（</w:t>
            </w:r>
            <w:r>
              <w:rPr>
                <w:rFonts w:ascii="Times New Roman" w:hAnsi="Times New Roman"/>
                <w:sz w:val="21"/>
                <w:szCs w:val="21"/>
              </w:rPr>
              <w:t>辅修大数据）</w:t>
            </w:r>
          </w:p>
        </w:tc>
        <w:tc>
          <w:tcPr>
            <w:tcW w:w="1321" w:type="dxa"/>
            <w:vAlign w:val="center"/>
          </w:tcPr>
          <w:p w14:paraId="059F3B97">
            <w:pPr>
              <w:jc w:val="center"/>
              <w:rPr>
                <w:sz w:val="21"/>
                <w:szCs w:val="21"/>
              </w:rPr>
            </w:pPr>
            <w:r>
              <w:rPr>
                <w:sz w:val="21"/>
                <w:szCs w:val="21"/>
              </w:rPr>
              <w:t>梳理研究思路并整理项目研究内容</w:t>
            </w:r>
          </w:p>
        </w:tc>
        <w:tc>
          <w:tcPr>
            <w:tcW w:w="729" w:type="pct"/>
            <w:vAlign w:val="center"/>
          </w:tcPr>
          <w:p w14:paraId="5549F79B">
            <w:pPr>
              <w:spacing w:line="360" w:lineRule="auto"/>
              <w:jc w:val="center"/>
              <w:rPr>
                <w:rFonts w:hint="eastAsia" w:ascii="宋体" w:hAnsi="宋体" w:cs="Times New Roman"/>
                <w:sz w:val="18"/>
                <w:szCs w:val="18"/>
                <w:lang w:val="en-US" w:eastAsia="zh-CN"/>
              </w:rPr>
            </w:pPr>
            <w:r>
              <w:rPr>
                <w:rFonts w:hint="eastAsia" w:ascii="宋体" w:hAnsi="宋体" w:cs="Times New Roman"/>
                <w:sz w:val="18"/>
                <w:szCs w:val="18"/>
                <w:lang w:val="en-US" w:eastAsia="zh-CN"/>
              </w:rPr>
              <w:t>13583918150</w:t>
            </w:r>
          </w:p>
        </w:tc>
      </w:tr>
      <w:tr w14:paraId="18BE5C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 w:hRule="atLeast"/>
        </w:trPr>
        <w:tc>
          <w:tcPr>
            <w:tcW w:w="847" w:type="pct"/>
            <w:vMerge w:val="continue"/>
            <w:vAlign w:val="center"/>
          </w:tcPr>
          <w:p w14:paraId="5053BD8A">
            <w:pPr>
              <w:spacing w:line="360" w:lineRule="auto"/>
              <w:ind w:left="113" w:right="113"/>
              <w:jc w:val="center"/>
              <w:rPr>
                <w:rFonts w:ascii="宋体" w:hAnsi="宋体"/>
                <w:sz w:val="24"/>
                <w:szCs w:val="24"/>
              </w:rPr>
            </w:pPr>
          </w:p>
        </w:tc>
        <w:tc>
          <w:tcPr>
            <w:tcW w:w="1459" w:type="dxa"/>
            <w:vAlign w:val="center"/>
          </w:tcPr>
          <w:p w14:paraId="39673A84">
            <w:pPr>
              <w:spacing w:line="360" w:lineRule="auto"/>
              <w:jc w:val="center"/>
              <w:rPr>
                <w:rFonts w:hint="eastAsia" w:ascii="宋体" w:hAnsi="宋体"/>
                <w:sz w:val="24"/>
                <w:szCs w:val="24"/>
                <w:lang w:val="en-US" w:eastAsia="zh-CN"/>
              </w:rPr>
            </w:pPr>
            <w:r>
              <w:rPr>
                <w:rFonts w:hint="eastAsia" w:ascii="宋体" w:hAnsi="宋体"/>
                <w:sz w:val="24"/>
                <w:szCs w:val="24"/>
                <w:lang w:val="en-US" w:eastAsia="zh-CN"/>
              </w:rPr>
              <w:t>杨子悦</w:t>
            </w:r>
          </w:p>
        </w:tc>
        <w:tc>
          <w:tcPr>
            <w:tcW w:w="1459" w:type="dxa"/>
            <w:vAlign w:val="center"/>
          </w:tcPr>
          <w:p w14:paraId="334AC55A">
            <w:pPr>
              <w:spacing w:line="360" w:lineRule="auto"/>
              <w:jc w:val="center"/>
              <w:rPr>
                <w:rFonts w:hint="eastAsia" w:ascii="宋体" w:hAnsi="宋体"/>
                <w:sz w:val="20"/>
                <w:szCs w:val="20"/>
                <w:lang w:val="en-US" w:eastAsia="zh-CN"/>
              </w:rPr>
            </w:pPr>
            <w:r>
              <w:rPr>
                <w:rFonts w:hint="eastAsia" w:ascii="宋体" w:hAnsi="宋体"/>
                <w:sz w:val="20"/>
                <w:szCs w:val="20"/>
                <w:lang w:val="en-US" w:eastAsia="zh-CN"/>
              </w:rPr>
              <w:t>武汉工程大学</w:t>
            </w:r>
          </w:p>
        </w:tc>
        <w:tc>
          <w:tcPr>
            <w:tcW w:w="1594" w:type="dxa"/>
            <w:gridSpan w:val="2"/>
            <w:vAlign w:val="center"/>
          </w:tcPr>
          <w:p w14:paraId="18307F2A">
            <w:pPr>
              <w:jc w:val="center"/>
              <w:rPr>
                <w:rFonts w:hint="eastAsia" w:ascii="Times New Roman" w:hAnsi="Times New Roman"/>
                <w:sz w:val="21"/>
                <w:szCs w:val="21"/>
                <w:lang w:val="en-US" w:eastAsia="zh-CN"/>
              </w:rPr>
            </w:pPr>
            <w:r>
              <w:rPr>
                <w:rFonts w:hint="eastAsia" w:ascii="Times New Roman" w:hAnsi="Times New Roman"/>
                <w:sz w:val="21"/>
                <w:szCs w:val="21"/>
                <w:lang w:val="en-US" w:eastAsia="zh-CN"/>
              </w:rPr>
              <w:t>智能科学</w:t>
            </w:r>
          </w:p>
          <w:p w14:paraId="54DC6BA0">
            <w:pPr>
              <w:jc w:val="center"/>
              <w:rPr>
                <w:rFonts w:hint="eastAsia" w:ascii="Times New Roman" w:hAnsi="Times New Roman"/>
                <w:sz w:val="21"/>
                <w:szCs w:val="21"/>
                <w:lang w:val="en-US" w:eastAsia="zh-CN"/>
              </w:rPr>
            </w:pPr>
            <w:r>
              <w:rPr>
                <w:rFonts w:hint="eastAsia" w:ascii="Times New Roman" w:hAnsi="Times New Roman"/>
                <w:sz w:val="21"/>
                <w:szCs w:val="21"/>
                <w:lang w:val="en-US" w:eastAsia="zh-CN"/>
              </w:rPr>
              <w:t>与技术</w:t>
            </w:r>
          </w:p>
        </w:tc>
        <w:tc>
          <w:tcPr>
            <w:tcW w:w="1321" w:type="dxa"/>
            <w:vAlign w:val="center"/>
          </w:tcPr>
          <w:p w14:paraId="3447C15D">
            <w:pPr>
              <w:jc w:val="center"/>
              <w:rPr>
                <w:rFonts w:hint="eastAsia" w:eastAsia="宋体"/>
                <w:sz w:val="21"/>
                <w:szCs w:val="21"/>
                <w:lang w:eastAsia="zh-CN"/>
              </w:rPr>
            </w:pPr>
            <w:r>
              <w:rPr>
                <w:rFonts w:hint="eastAsia"/>
                <w:sz w:val="21"/>
                <w:szCs w:val="21"/>
                <w:lang w:val="en-US" w:eastAsia="zh-CN"/>
              </w:rPr>
              <w:t>数据可视化</w:t>
            </w:r>
          </w:p>
        </w:tc>
        <w:tc>
          <w:tcPr>
            <w:tcW w:w="1245" w:type="dxa"/>
            <w:vAlign w:val="center"/>
          </w:tcPr>
          <w:p w14:paraId="1240EE05">
            <w:pPr>
              <w:spacing w:line="360" w:lineRule="auto"/>
              <w:jc w:val="center"/>
              <w:rPr>
                <w:rFonts w:hint="eastAsia" w:ascii="宋体" w:hAnsi="宋体" w:cs="Times New Roman"/>
                <w:sz w:val="18"/>
                <w:szCs w:val="18"/>
                <w:lang w:val="en-US" w:eastAsia="zh-CN"/>
              </w:rPr>
            </w:pPr>
            <w:r>
              <w:rPr>
                <w:rFonts w:hint="eastAsia" w:ascii="宋体" w:hAnsi="宋体" w:cs="Times New Roman"/>
                <w:sz w:val="18"/>
                <w:szCs w:val="18"/>
                <w:lang w:val="en-US" w:eastAsia="zh-CN"/>
              </w:rPr>
              <w:t>17771855316</w:t>
            </w:r>
          </w:p>
        </w:tc>
      </w:tr>
      <w:tr w14:paraId="6B0F59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 w:hRule="atLeast"/>
        </w:trPr>
        <w:tc>
          <w:tcPr>
            <w:tcW w:w="847" w:type="pct"/>
            <w:vMerge w:val="continue"/>
            <w:vAlign w:val="center"/>
          </w:tcPr>
          <w:p w14:paraId="0DC9EBCB">
            <w:pPr>
              <w:spacing w:line="360" w:lineRule="auto"/>
              <w:ind w:left="113" w:right="113"/>
              <w:jc w:val="center"/>
              <w:rPr>
                <w:rFonts w:ascii="宋体" w:hAnsi="宋体"/>
                <w:sz w:val="24"/>
                <w:szCs w:val="24"/>
              </w:rPr>
            </w:pPr>
          </w:p>
        </w:tc>
        <w:tc>
          <w:tcPr>
            <w:tcW w:w="856" w:type="pct"/>
            <w:vAlign w:val="center"/>
          </w:tcPr>
          <w:p w14:paraId="398A9908">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李永康</w:t>
            </w:r>
          </w:p>
        </w:tc>
        <w:tc>
          <w:tcPr>
            <w:tcW w:w="856" w:type="pct"/>
            <w:vAlign w:val="center"/>
          </w:tcPr>
          <w:p w14:paraId="6A1D94B1">
            <w:pPr>
              <w:spacing w:line="360" w:lineRule="auto"/>
              <w:jc w:val="center"/>
              <w:rPr>
                <w:rFonts w:ascii="宋体" w:hAnsi="宋体"/>
                <w:sz w:val="24"/>
                <w:szCs w:val="24"/>
              </w:rPr>
            </w:pPr>
            <w:r>
              <w:rPr>
                <w:rFonts w:hint="eastAsia" w:ascii="宋体" w:hAnsi="宋体"/>
                <w:sz w:val="20"/>
                <w:szCs w:val="20"/>
                <w:lang w:val="en-US" w:eastAsia="zh-CN"/>
              </w:rPr>
              <w:t>武汉工程大学</w:t>
            </w:r>
          </w:p>
        </w:tc>
        <w:tc>
          <w:tcPr>
            <w:tcW w:w="935" w:type="pct"/>
            <w:gridSpan w:val="2"/>
            <w:vAlign w:val="center"/>
          </w:tcPr>
          <w:p w14:paraId="03462D80">
            <w:pPr>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计算机科学与技术</w:t>
            </w:r>
          </w:p>
        </w:tc>
        <w:tc>
          <w:tcPr>
            <w:tcW w:w="1321" w:type="dxa"/>
            <w:vAlign w:val="center"/>
          </w:tcPr>
          <w:p w14:paraId="5E987328">
            <w:pPr>
              <w:jc w:val="center"/>
              <w:rPr>
                <w:sz w:val="21"/>
                <w:szCs w:val="21"/>
              </w:rPr>
            </w:pPr>
            <w:r>
              <w:rPr>
                <w:sz w:val="21"/>
                <w:szCs w:val="21"/>
              </w:rPr>
              <w:t>数据模型</w:t>
            </w:r>
          </w:p>
          <w:p w14:paraId="3EE83B4D">
            <w:pPr>
              <w:jc w:val="center"/>
              <w:rPr>
                <w:sz w:val="21"/>
                <w:szCs w:val="21"/>
              </w:rPr>
            </w:pPr>
            <w:r>
              <w:rPr>
                <w:sz w:val="21"/>
                <w:szCs w:val="21"/>
              </w:rPr>
              <w:t>构建</w:t>
            </w:r>
          </w:p>
        </w:tc>
        <w:tc>
          <w:tcPr>
            <w:tcW w:w="729" w:type="pct"/>
            <w:vAlign w:val="center"/>
          </w:tcPr>
          <w:p w14:paraId="184F0357">
            <w:pPr>
              <w:spacing w:line="360" w:lineRule="auto"/>
              <w:jc w:val="center"/>
              <w:rPr>
                <w:rFonts w:hint="eastAsia" w:ascii="宋体" w:hAnsi="宋体" w:cs="Times New Roman"/>
                <w:sz w:val="18"/>
                <w:szCs w:val="18"/>
                <w:lang w:val="en-US" w:eastAsia="zh-CN"/>
              </w:rPr>
            </w:pPr>
            <w:r>
              <w:rPr>
                <w:rFonts w:hint="eastAsia" w:ascii="宋体" w:hAnsi="宋体" w:cs="Times New Roman"/>
                <w:sz w:val="18"/>
                <w:szCs w:val="18"/>
                <w:lang w:val="en-US" w:eastAsia="zh-CN"/>
              </w:rPr>
              <w:t>19871278756</w:t>
            </w:r>
          </w:p>
        </w:tc>
      </w:tr>
      <w:tr w14:paraId="430D22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23" w:hRule="atLeast"/>
        </w:trPr>
        <w:tc>
          <w:tcPr>
            <w:tcW w:w="847" w:type="pct"/>
            <w:vMerge w:val="restart"/>
            <w:vAlign w:val="center"/>
          </w:tcPr>
          <w:p w14:paraId="14050E93">
            <w:pPr>
              <w:spacing w:line="360" w:lineRule="auto"/>
              <w:jc w:val="center"/>
              <w:rPr>
                <w:rFonts w:ascii="宋体" w:hAnsi="宋体"/>
                <w:sz w:val="24"/>
                <w:szCs w:val="24"/>
                <w:lang w:eastAsia="zh-TW"/>
              </w:rPr>
            </w:pPr>
            <w:r>
              <w:rPr>
                <w:rFonts w:hint="eastAsia" w:ascii="宋体" w:hAnsi="宋体"/>
                <w:sz w:val="24"/>
                <w:szCs w:val="24"/>
                <w:lang w:eastAsia="zh-TW"/>
              </w:rPr>
              <w:t>指导教师</w:t>
            </w:r>
          </w:p>
          <w:p w14:paraId="69C6B1EA">
            <w:pPr>
              <w:spacing w:line="360" w:lineRule="auto"/>
              <w:jc w:val="center"/>
              <w:rPr>
                <w:rFonts w:ascii="宋体" w:hAnsi="宋体"/>
                <w:sz w:val="24"/>
                <w:szCs w:val="24"/>
                <w:lang w:eastAsia="zh-TW"/>
              </w:rPr>
            </w:pPr>
            <w:r>
              <w:rPr>
                <w:rFonts w:hint="eastAsia" w:ascii="宋体" w:hAnsi="宋体"/>
                <w:sz w:val="24"/>
                <w:szCs w:val="24"/>
                <w:lang w:eastAsia="zh-TW"/>
              </w:rPr>
              <w:t>（选填）</w:t>
            </w:r>
          </w:p>
        </w:tc>
        <w:tc>
          <w:tcPr>
            <w:tcW w:w="856" w:type="pct"/>
            <w:vAlign w:val="center"/>
          </w:tcPr>
          <w:p w14:paraId="41D1177E">
            <w:pPr>
              <w:spacing w:line="360" w:lineRule="auto"/>
              <w:jc w:val="center"/>
              <w:rPr>
                <w:rFonts w:ascii="宋体" w:hAnsi="宋体"/>
                <w:sz w:val="24"/>
                <w:szCs w:val="24"/>
              </w:rPr>
            </w:pPr>
            <w:r>
              <w:rPr>
                <w:rFonts w:hint="eastAsia" w:ascii="宋体" w:hAnsi="宋体"/>
                <w:sz w:val="24"/>
                <w:szCs w:val="24"/>
                <w:lang w:eastAsia="zh-TW"/>
              </w:rPr>
              <w:t>姓名</w:t>
            </w:r>
          </w:p>
        </w:tc>
        <w:tc>
          <w:tcPr>
            <w:tcW w:w="856" w:type="pct"/>
            <w:vAlign w:val="center"/>
          </w:tcPr>
          <w:p w14:paraId="76966D5B">
            <w:pPr>
              <w:spacing w:line="360" w:lineRule="auto"/>
              <w:jc w:val="center"/>
              <w:rPr>
                <w:rFonts w:ascii="宋体" w:hAnsi="宋体"/>
                <w:sz w:val="24"/>
                <w:szCs w:val="24"/>
                <w:lang w:eastAsia="zh-TW"/>
              </w:rPr>
            </w:pPr>
            <w:r>
              <w:rPr>
                <w:rFonts w:hint="eastAsia" w:ascii="宋体" w:hAnsi="宋体"/>
                <w:sz w:val="24"/>
                <w:szCs w:val="24"/>
                <w:lang w:eastAsia="zh-TW"/>
              </w:rPr>
              <w:t>职务或职称</w:t>
            </w:r>
          </w:p>
        </w:tc>
        <w:tc>
          <w:tcPr>
            <w:tcW w:w="1710" w:type="pct"/>
            <w:gridSpan w:val="3"/>
            <w:vAlign w:val="center"/>
          </w:tcPr>
          <w:p w14:paraId="0E0C5EB1">
            <w:pPr>
              <w:spacing w:line="360" w:lineRule="auto"/>
              <w:jc w:val="center"/>
              <w:rPr>
                <w:rFonts w:ascii="宋体" w:hAnsi="宋体"/>
                <w:sz w:val="24"/>
                <w:szCs w:val="24"/>
                <w:lang w:eastAsia="zh-TW"/>
              </w:rPr>
            </w:pPr>
            <w:r>
              <w:rPr>
                <w:rFonts w:hint="eastAsia" w:ascii="宋体" w:hAnsi="宋体"/>
                <w:sz w:val="24"/>
                <w:szCs w:val="24"/>
                <w:lang w:eastAsia="zh-TW"/>
              </w:rPr>
              <w:t>电子邮箱</w:t>
            </w:r>
          </w:p>
        </w:tc>
        <w:tc>
          <w:tcPr>
            <w:tcW w:w="729" w:type="pct"/>
            <w:vAlign w:val="center"/>
          </w:tcPr>
          <w:p w14:paraId="4668C421">
            <w:pPr>
              <w:spacing w:line="360" w:lineRule="auto"/>
              <w:jc w:val="center"/>
              <w:rPr>
                <w:rFonts w:ascii="宋体" w:hAnsi="宋体"/>
                <w:sz w:val="24"/>
                <w:szCs w:val="24"/>
                <w:lang w:eastAsia="zh-TW"/>
              </w:rPr>
            </w:pPr>
            <w:r>
              <w:rPr>
                <w:rFonts w:hint="eastAsia" w:ascii="宋体" w:hAnsi="宋体"/>
                <w:sz w:val="24"/>
                <w:szCs w:val="24"/>
              </w:rPr>
              <w:t>联系电话</w:t>
            </w:r>
          </w:p>
        </w:tc>
      </w:tr>
      <w:tr w14:paraId="07BAEC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5" w:hRule="atLeast"/>
        </w:trPr>
        <w:tc>
          <w:tcPr>
            <w:tcW w:w="847" w:type="pct"/>
            <w:vMerge w:val="continue"/>
            <w:vAlign w:val="center"/>
          </w:tcPr>
          <w:p w14:paraId="1E934E2C">
            <w:pPr>
              <w:spacing w:line="360" w:lineRule="auto"/>
              <w:jc w:val="center"/>
              <w:rPr>
                <w:rFonts w:ascii="宋体" w:hAnsi="宋体"/>
                <w:sz w:val="24"/>
                <w:szCs w:val="24"/>
                <w:lang w:eastAsia="zh-TW"/>
              </w:rPr>
            </w:pPr>
          </w:p>
        </w:tc>
        <w:tc>
          <w:tcPr>
            <w:tcW w:w="856" w:type="pct"/>
            <w:vAlign w:val="center"/>
          </w:tcPr>
          <w:p w14:paraId="2173D919">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赖晓敏</w:t>
            </w:r>
          </w:p>
        </w:tc>
        <w:tc>
          <w:tcPr>
            <w:tcW w:w="856" w:type="pct"/>
            <w:vAlign w:val="center"/>
          </w:tcPr>
          <w:p w14:paraId="4CA7656E">
            <w:pPr>
              <w:spacing w:line="360" w:lineRule="auto"/>
              <w:jc w:val="center"/>
              <w:rPr>
                <w:rFonts w:hint="eastAsia" w:ascii="宋体" w:hAnsi="宋体" w:eastAsia="宋体"/>
                <w:sz w:val="24"/>
                <w:szCs w:val="24"/>
                <w:lang w:val="en-US" w:eastAsia="zh-CN"/>
              </w:rPr>
            </w:pPr>
            <w:r>
              <w:rPr>
                <w:rFonts w:hint="eastAsia" w:ascii="宋体" w:hAnsi="宋体"/>
                <w:sz w:val="24"/>
                <w:szCs w:val="24"/>
                <w:lang w:val="en-US" w:eastAsia="zh-CN"/>
              </w:rPr>
              <w:t>副教授</w:t>
            </w:r>
          </w:p>
        </w:tc>
        <w:tc>
          <w:tcPr>
            <w:tcW w:w="1710" w:type="pct"/>
            <w:gridSpan w:val="3"/>
            <w:vAlign w:val="center"/>
          </w:tcPr>
          <w:p w14:paraId="1179D315">
            <w:pPr>
              <w:spacing w:line="360" w:lineRule="auto"/>
              <w:jc w:val="center"/>
              <w:rPr>
                <w:rFonts w:ascii="宋体" w:hAnsi="宋体"/>
                <w:sz w:val="24"/>
                <w:szCs w:val="24"/>
              </w:rPr>
            </w:pPr>
            <w:r>
              <w:rPr>
                <w:rFonts w:hint="eastAsia" w:ascii="宋体" w:hAnsi="宋体"/>
                <w:sz w:val="24"/>
                <w:szCs w:val="24"/>
              </w:rPr>
              <w:t>xiaomin.lai@foxmail.com</w:t>
            </w:r>
          </w:p>
        </w:tc>
        <w:tc>
          <w:tcPr>
            <w:tcW w:w="729" w:type="pct"/>
            <w:vAlign w:val="center"/>
          </w:tcPr>
          <w:p w14:paraId="6EA61A6C">
            <w:pPr>
              <w:spacing w:line="360" w:lineRule="auto"/>
              <w:jc w:val="center"/>
              <w:rPr>
                <w:rFonts w:ascii="宋体" w:hAnsi="宋体"/>
                <w:sz w:val="24"/>
                <w:szCs w:val="24"/>
              </w:rPr>
            </w:pPr>
            <w:r>
              <w:rPr>
                <w:rFonts w:hint="eastAsia" w:ascii="宋体" w:hAnsi="宋体" w:cs="Times New Roman"/>
                <w:sz w:val="18"/>
                <w:szCs w:val="18"/>
                <w:lang w:val="en-US" w:eastAsia="zh-CN"/>
              </w:rPr>
              <w:t>15827277086</w:t>
            </w:r>
          </w:p>
        </w:tc>
      </w:tr>
      <w:tr w14:paraId="27DA00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97" w:hRule="atLeast"/>
        </w:trPr>
        <w:tc>
          <w:tcPr>
            <w:tcW w:w="847" w:type="pct"/>
            <w:vMerge w:val="continue"/>
            <w:vAlign w:val="center"/>
          </w:tcPr>
          <w:p w14:paraId="522AEDCD">
            <w:pPr>
              <w:spacing w:line="360" w:lineRule="auto"/>
              <w:jc w:val="center"/>
              <w:rPr>
                <w:rFonts w:ascii="宋体" w:hAnsi="宋体"/>
                <w:sz w:val="24"/>
                <w:szCs w:val="24"/>
                <w:lang w:eastAsia="zh-TW"/>
              </w:rPr>
            </w:pPr>
          </w:p>
        </w:tc>
        <w:tc>
          <w:tcPr>
            <w:tcW w:w="856" w:type="pct"/>
            <w:vAlign w:val="center"/>
          </w:tcPr>
          <w:p w14:paraId="48734BD8">
            <w:pPr>
              <w:spacing w:line="360" w:lineRule="auto"/>
              <w:jc w:val="center"/>
              <w:rPr>
                <w:rFonts w:hint="default" w:ascii="宋体" w:hAnsi="宋体" w:eastAsia="宋体"/>
                <w:sz w:val="24"/>
                <w:szCs w:val="24"/>
                <w:lang w:val="en-US" w:eastAsia="zh-CN"/>
              </w:rPr>
            </w:pPr>
            <w:r>
              <w:rPr>
                <w:rFonts w:hint="eastAsia" w:ascii="宋体" w:hAnsi="宋体"/>
                <w:sz w:val="24"/>
                <w:szCs w:val="24"/>
                <w:lang w:val="en-US" w:eastAsia="zh-CN"/>
              </w:rPr>
              <w:t>代江龙</w:t>
            </w:r>
          </w:p>
        </w:tc>
        <w:tc>
          <w:tcPr>
            <w:tcW w:w="856" w:type="pct"/>
            <w:vAlign w:val="center"/>
          </w:tcPr>
          <w:p w14:paraId="02B61BCB">
            <w:pPr>
              <w:spacing w:line="360" w:lineRule="auto"/>
              <w:jc w:val="center"/>
              <w:rPr>
                <w:rFonts w:hint="eastAsia" w:ascii="宋体" w:hAnsi="宋体" w:eastAsia="宋体"/>
                <w:sz w:val="24"/>
                <w:szCs w:val="24"/>
                <w:lang w:val="en-US" w:eastAsia="zh-CN"/>
              </w:rPr>
            </w:pPr>
            <w:r>
              <w:rPr>
                <w:rFonts w:hint="eastAsia" w:ascii="宋体" w:hAnsi="宋体"/>
                <w:sz w:val="24"/>
                <w:szCs w:val="24"/>
                <w:lang w:val="en-US" w:eastAsia="zh-CN"/>
              </w:rPr>
              <w:t>教授</w:t>
            </w:r>
          </w:p>
        </w:tc>
        <w:tc>
          <w:tcPr>
            <w:tcW w:w="1710" w:type="pct"/>
            <w:gridSpan w:val="3"/>
            <w:vAlign w:val="center"/>
          </w:tcPr>
          <w:p w14:paraId="2F04D346">
            <w:pPr>
              <w:spacing w:line="360" w:lineRule="auto"/>
              <w:jc w:val="center"/>
              <w:rPr>
                <w:rFonts w:ascii="宋体" w:hAnsi="宋体"/>
                <w:sz w:val="24"/>
                <w:szCs w:val="24"/>
              </w:rPr>
            </w:pPr>
            <w:r>
              <w:rPr>
                <w:rFonts w:hint="eastAsia" w:ascii="宋体" w:hAnsi="宋体"/>
                <w:sz w:val="24"/>
                <w:szCs w:val="24"/>
              </w:rPr>
              <w:t>daijianglong@aliyun.com</w:t>
            </w:r>
          </w:p>
        </w:tc>
        <w:tc>
          <w:tcPr>
            <w:tcW w:w="729" w:type="pct"/>
            <w:vAlign w:val="center"/>
          </w:tcPr>
          <w:p w14:paraId="0909CE29">
            <w:pPr>
              <w:spacing w:line="360" w:lineRule="auto"/>
              <w:jc w:val="center"/>
              <w:rPr>
                <w:rFonts w:hint="default" w:ascii="宋体" w:hAnsi="宋体" w:eastAsia="宋体"/>
                <w:sz w:val="24"/>
                <w:szCs w:val="24"/>
                <w:lang w:val="en-US" w:eastAsia="zh-CN"/>
              </w:rPr>
            </w:pPr>
            <w:r>
              <w:rPr>
                <w:rFonts w:hint="eastAsia" w:ascii="宋体" w:hAnsi="宋体" w:cs="Times New Roman"/>
                <w:sz w:val="18"/>
                <w:szCs w:val="18"/>
                <w:lang w:val="en-US" w:eastAsia="zh-CN"/>
              </w:rPr>
              <w:t>15002754248</w:t>
            </w:r>
          </w:p>
        </w:tc>
      </w:tr>
      <w:tr w14:paraId="3A82CC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223" w:hRule="atLeast"/>
        </w:trPr>
        <w:tc>
          <w:tcPr>
            <w:tcW w:w="847" w:type="pct"/>
            <w:vAlign w:val="center"/>
          </w:tcPr>
          <w:p w14:paraId="7F0121EB">
            <w:pPr>
              <w:spacing w:line="360" w:lineRule="auto"/>
              <w:jc w:val="center"/>
              <w:rPr>
                <w:rFonts w:ascii="宋体" w:hAnsi="宋体"/>
                <w:sz w:val="24"/>
                <w:szCs w:val="24"/>
              </w:rPr>
            </w:pPr>
            <w:r>
              <w:rPr>
                <w:rFonts w:hint="eastAsia" w:ascii="宋体" w:hAnsi="宋体"/>
                <w:sz w:val="24"/>
                <w:szCs w:val="24"/>
              </w:rPr>
              <w:t>所选题目</w:t>
            </w:r>
          </w:p>
        </w:tc>
        <w:tc>
          <w:tcPr>
            <w:tcW w:w="4152" w:type="pct"/>
            <w:gridSpan w:val="6"/>
          </w:tcPr>
          <w:p w14:paraId="0E40965C">
            <w:pPr>
              <w:spacing w:line="360" w:lineRule="auto"/>
              <w:rPr>
                <w:rFonts w:ascii="宋体" w:hAnsi="宋体"/>
                <w:sz w:val="24"/>
                <w:szCs w:val="24"/>
              </w:rPr>
            </w:pPr>
            <w:r>
              <w:rPr>
                <w:rFonts w:hint="eastAsia" w:ascii="宋体" w:hAnsi="宋体"/>
                <w:sz w:val="24"/>
                <w:szCs w:val="24"/>
              </w:rPr>
              <w:t>口法律大模型创意研发赛道</w:t>
            </w:r>
          </w:p>
          <w:p w14:paraId="63BCF3A1">
            <w:pPr>
              <w:spacing w:line="360" w:lineRule="auto"/>
              <w:rPr>
                <w:rFonts w:ascii="宋体" w:hAnsi="宋体"/>
                <w:sz w:val="24"/>
                <w:szCs w:val="24"/>
              </w:rPr>
            </w:pPr>
            <w:r>
              <w:rPr>
                <w:spacing w:val="-10"/>
              </w:rPr>
              <w:t>√</w:t>
            </w:r>
            <w:r>
              <w:rPr>
                <w:rFonts w:hint="eastAsia"/>
                <w:spacing w:val="-10"/>
                <w:lang w:val="en-US" w:eastAsia="zh-CN"/>
              </w:rPr>
              <w:t xml:space="preserve"> </w:t>
            </w:r>
            <w:r>
              <w:rPr>
                <w:rFonts w:hint="eastAsia" w:ascii="宋体" w:hAnsi="宋体"/>
                <w:sz w:val="24"/>
                <w:szCs w:val="24"/>
              </w:rPr>
              <w:t>法律大模型应用实践赛道</w:t>
            </w:r>
          </w:p>
          <w:p w14:paraId="02563597">
            <w:pPr>
              <w:spacing w:line="360" w:lineRule="auto"/>
              <w:rPr>
                <w:rFonts w:ascii="宋体" w:hAnsi="宋体"/>
                <w:sz w:val="24"/>
                <w:szCs w:val="24"/>
              </w:rPr>
            </w:pPr>
          </w:p>
        </w:tc>
      </w:tr>
    </w:tbl>
    <w:p w14:paraId="3D72CE74">
      <w:pPr>
        <w:widowControl/>
        <w:jc w:val="left"/>
        <w:rPr>
          <w:rFonts w:eastAsia="黑体"/>
          <w:sz w:val="32"/>
        </w:rPr>
      </w:pPr>
      <w:r>
        <w:rPr>
          <w:rFonts w:eastAsia="黑体"/>
          <w:sz w:val="32"/>
        </w:rPr>
        <w:br w:type="page"/>
      </w:r>
    </w:p>
    <w:p w14:paraId="7A6D7B8E">
      <w:pPr>
        <w:spacing w:line="480" w:lineRule="auto"/>
        <w:rPr>
          <w:rFonts w:eastAsia="黑体"/>
          <w:sz w:val="32"/>
        </w:rPr>
      </w:pPr>
      <w:r>
        <w:rPr>
          <w:rFonts w:hint="eastAsia" w:eastAsia="黑体"/>
          <w:sz w:val="32"/>
        </w:rPr>
        <w:t>二、所选题目及具体处理方法</w:t>
      </w:r>
    </w:p>
    <w:tbl>
      <w:tblPr>
        <w:tblStyle w:val="8"/>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8522"/>
      </w:tblGrid>
      <w:tr w14:paraId="718351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126" w:hRule="atLeast"/>
        </w:trPr>
        <w:tc>
          <w:tcPr>
            <w:tcW w:w="5000" w:type="pct"/>
          </w:tcPr>
          <w:p w14:paraId="7B222DE8">
            <w:pPr>
              <w:rPr>
                <w:rFonts w:hint="eastAsia"/>
                <w:b/>
                <w:bCs/>
              </w:rPr>
            </w:pPr>
            <w:r>
              <w:rPr>
                <w:rFonts w:hint="eastAsia"/>
                <w:b/>
                <w:bCs/>
              </w:rPr>
              <w:t>1.[研究概述]</w:t>
            </w:r>
          </w:p>
          <w:p w14:paraId="694828CC">
            <w:pPr>
              <w:rPr>
                <w:rFonts w:hint="eastAsia"/>
                <w:b/>
                <w:bCs/>
              </w:rPr>
            </w:pPr>
            <w:r>
              <w:rPr>
                <w:rFonts w:hint="eastAsia"/>
                <w:b/>
                <w:bCs/>
              </w:rPr>
              <w:t>1.1选题背景</w:t>
            </w:r>
          </w:p>
          <w:p w14:paraId="1051FC58">
            <w:pPr>
              <w:ind w:firstLine="480" w:firstLineChars="200"/>
              <w:rPr>
                <w:rFonts w:hint="eastAsia"/>
              </w:rPr>
            </w:pPr>
            <w:r>
              <w:rPr>
                <w:rFonts w:hint="eastAsia"/>
              </w:rPr>
              <w:t>“实质性相似”是指两个作品在表达方式、内容结构或独创性部分上具有高度相似性。</w:t>
            </w:r>
            <w:r>
              <w:t>随着数字技术发展，作品传播速度加快，著作权侵权案件呈现爆发式增长。传统侵权判定依赖人工比对，</w:t>
            </w:r>
            <w:r>
              <w:rPr>
                <w:rFonts w:hint="eastAsia"/>
              </w:rPr>
              <w:t>在实质性相似的判断中</w:t>
            </w:r>
            <w:r>
              <w:t>存在主观性</w:t>
            </w:r>
            <w:r>
              <w:rPr>
                <w:rFonts w:hint="eastAsia"/>
              </w:rPr>
              <w:t>过</w:t>
            </w:r>
            <w:r>
              <w:t>强</w:t>
            </w:r>
            <w:r>
              <w:rPr>
                <w:rFonts w:hint="eastAsia"/>
              </w:rPr>
              <w:t>、效率瓶颈突出、技术场景适应性不足</w:t>
            </w:r>
            <w:r>
              <w:t>等问题。</w:t>
            </w:r>
            <w:r>
              <w:rPr>
                <w:rFonts w:hint="eastAsia"/>
              </w:rPr>
              <w:t>而</w:t>
            </w:r>
            <w:r>
              <w:t>人工智能技术通过大数据分析和深度学习，能够高效识别作品特征、量化相似度，并追踪传播路径，为侵权判定提供客观依据，成为破解当前困境的新方向。</w:t>
            </w:r>
          </w:p>
          <w:p w14:paraId="344A7477">
            <w:pPr>
              <w:rPr>
                <w:rFonts w:hint="eastAsia"/>
                <w:b/>
                <w:bCs/>
              </w:rPr>
            </w:pPr>
            <w:r>
              <w:rPr>
                <w:rFonts w:hint="eastAsia"/>
                <w:b/>
                <w:bCs/>
              </w:rPr>
              <w:t>1.2研究综述</w:t>
            </w:r>
          </w:p>
          <w:p w14:paraId="2762D16C">
            <w:pPr>
              <w:rPr>
                <w:rFonts w:hint="eastAsia"/>
                <w:b/>
                <w:bCs/>
              </w:rPr>
            </w:pPr>
            <w:r>
              <w:rPr>
                <w:rFonts w:hint="eastAsia"/>
                <w:b/>
                <w:bCs/>
              </w:rPr>
              <w:t>1.2.1实质性相似的认定标准</w:t>
            </w:r>
          </w:p>
          <w:p w14:paraId="697E830F">
            <w:pPr>
              <w:ind w:firstLine="480" w:firstLineChars="200"/>
              <w:rPr>
                <w:color w:val="000000"/>
                <w:szCs w:val="24"/>
              </w:rPr>
            </w:pPr>
            <w:r>
              <w:rPr>
                <w:rFonts w:hint="eastAsia"/>
                <w:color w:val="000000"/>
                <w:szCs w:val="24"/>
              </w:rPr>
              <w:t>在著作权侵权判定中，实质性相似的认定标准一直是学术界和司法实践中极具争议且关键的环节。近年来，随着人工智能技术的飞速发展，该领域的研究呈现出新的特点和趋势。早期研究主要聚焦于传统作品的实质性相似认定：从版权法角度对实质性相似的判断标准进行了深入探讨，指出其判断需综合考虑作品的独创性、相似性程度以及接触的可能性（梁志文，2015）。有的学者则通过实证研究，分析了司法实践中作品相似侵权判定的具体操作，揭示了现有标准在应用中的困境（黄小洵，2015）。</w:t>
            </w:r>
          </w:p>
          <w:p w14:paraId="3576D082">
            <w:pPr>
              <w:ind w:firstLine="480" w:firstLineChars="200"/>
              <w:rPr>
                <w:rFonts w:hint="eastAsia"/>
                <w:color w:val="000000"/>
                <w:szCs w:val="24"/>
              </w:rPr>
            </w:pPr>
            <w:r>
              <w:rPr>
                <w:rFonts w:hint="eastAsia"/>
                <w:color w:val="000000"/>
                <w:szCs w:val="24"/>
              </w:rPr>
              <w:t>在具体作品类型方面：对文学作品而言，聚焦于文学作品改编中的实质性相似认定，认为应重点关注作品的核心情节和表达方式（何滔，2023）；一些学者对美术作品的实质性相似认定规则进行了研究，强调了在视觉艺术领域，需结合作品的构图、色彩、线条等元素进行综合判断（张艺茹，2022；赵玙琪，2023）；也有学者对音乐作品的实质性相似认定进行了探讨，指出音乐作品的旋律、节奏、和声等元素在判断中的重要性，并提出了相应的判断方法（钱雨，2022；胡翦，2022）；亦有学者探讨了人工智能生成内容的法律风险与权益，指出在认定实质性相似时，需考虑人工智能模型的训练数据来源及其对原创作品的影响（郭启锴，2025）。</w:t>
            </w:r>
          </w:p>
          <w:p w14:paraId="12A1766A">
            <w:pPr>
              <w:rPr>
                <w:rFonts w:hint="eastAsia"/>
                <w:b/>
                <w:bCs/>
              </w:rPr>
            </w:pPr>
            <w:r>
              <w:rPr>
                <w:rFonts w:hint="eastAsia"/>
                <w:b/>
                <w:bCs/>
              </w:rPr>
              <w:t>1.2.2人工智能技术在实质性相似判断中的应用</w:t>
            </w:r>
          </w:p>
          <w:p w14:paraId="09546FFA">
            <w:pPr>
              <w:ind w:firstLine="480" w:firstLineChars="200"/>
            </w:pPr>
            <w:r>
              <w:rPr>
                <w:rFonts w:hint="eastAsia"/>
              </w:rPr>
              <w:t>人工智能技术可以通过深度学习和算法模型辅助实质性相似的判断。例如，利用自然语言处理（NLP）技术可以高效分析文本内容的相似性；图像处理算法则可用于图像和视觉内容的对比分析[9][10]。此外，AI技术还可以通过反编译技术对生成内容进行逆向工程，将其转化为与原作品类型一致的作品，从而更直观地比较两者之间的相似性[11]。</w:t>
            </w:r>
          </w:p>
          <w:p w14:paraId="145C5C47">
            <w:pPr>
              <w:rPr>
                <w:rFonts w:hint="eastAsia"/>
              </w:rPr>
            </w:pPr>
            <w:r>
              <w:rPr>
                <w:rFonts w:hint="eastAsia"/>
                <w:b/>
                <w:bCs/>
              </w:rPr>
              <w:t>1.3研究意义</w:t>
            </w:r>
          </w:p>
          <w:p w14:paraId="364CD4BA">
            <w:pPr>
              <w:ind w:firstLine="482" w:firstLineChars="200"/>
              <w:rPr>
                <w:rFonts w:hint="eastAsia"/>
              </w:rPr>
            </w:pPr>
            <w:r>
              <w:rPr>
                <w:rFonts w:hint="eastAsia"/>
                <w:b/>
                <w:bCs/>
              </w:rPr>
              <w:t>完善实质性相似研判体系</w:t>
            </w:r>
            <w:r>
              <w:rPr>
                <w:rFonts w:hint="eastAsia"/>
              </w:rPr>
              <w:t>：构建实质性相似的多模态评价体系，结合NLP与CV技术，构建“表达元素抽取-相似度分级-侵权阈值动态调整”的综合框架。</w:t>
            </w:r>
          </w:p>
          <w:p w14:paraId="3C89C19B">
            <w:pPr>
              <w:ind w:firstLine="482" w:firstLineChars="200"/>
              <w:rPr>
                <w:rFonts w:hint="eastAsia"/>
              </w:rPr>
            </w:pPr>
            <w:r>
              <w:rPr>
                <w:rFonts w:hint="eastAsia"/>
                <w:b/>
                <w:bCs/>
              </w:rPr>
              <w:t>提升司法效率与公正性</w:t>
            </w:r>
            <w:r>
              <w:rPr>
                <w:rFonts w:hint="eastAsia"/>
              </w:rPr>
              <w:t>：一方面，降低举证成本：权利人可通过AI工具快速定位相似片段并生成侵权报告，解决生成式AI“微量相似”导致的举证难题。另一方面，统一裁判尺度：建立基于大数据的侵权案例库，通过机器学习提取判决规律，辅助法官制定量化标准。</w:t>
            </w:r>
          </w:p>
          <w:p w14:paraId="0BCCA3D8">
            <w:pPr>
              <w:rPr>
                <w:rFonts w:hint="eastAsia"/>
                <w:b/>
                <w:bCs/>
                <w:color w:val="000000"/>
                <w:szCs w:val="24"/>
              </w:rPr>
            </w:pPr>
          </w:p>
          <w:p w14:paraId="0BD52F94">
            <w:pPr>
              <w:rPr>
                <w:rFonts w:hint="eastAsia"/>
                <w:b/>
                <w:bCs/>
                <w:color w:val="000000"/>
                <w:szCs w:val="24"/>
              </w:rPr>
            </w:pPr>
            <w:r>
              <w:rPr>
                <w:rFonts w:hint="eastAsia"/>
                <w:b/>
                <w:bCs/>
                <w:color w:val="000000"/>
                <w:szCs w:val="24"/>
              </w:rPr>
              <w:t>2.[研究内容]</w:t>
            </w:r>
          </w:p>
          <w:p w14:paraId="0C8EF332">
            <w:pPr>
              <w:rPr>
                <w:rFonts w:hint="eastAsia"/>
                <w:b/>
                <w:bCs/>
                <w:color w:val="000000"/>
                <w:szCs w:val="24"/>
              </w:rPr>
            </w:pPr>
            <w:r>
              <w:rPr>
                <w:rFonts w:hint="eastAsia"/>
                <w:b/>
                <w:bCs/>
                <w:color w:val="000000"/>
                <w:szCs w:val="24"/>
              </w:rPr>
              <w:t>2.1研究对象</w:t>
            </w:r>
          </w:p>
          <w:p w14:paraId="63148201">
            <w:pPr>
              <w:ind w:firstLine="482" w:firstLineChars="200"/>
              <w:rPr>
                <w:rFonts w:hint="eastAsia"/>
                <w:b/>
                <w:bCs/>
                <w:color w:val="000000"/>
                <w:szCs w:val="24"/>
              </w:rPr>
            </w:pPr>
            <w:r>
              <w:rPr>
                <w:rFonts w:hint="eastAsia"/>
                <w:b/>
                <w:bCs/>
                <w:color w:val="000000"/>
                <w:szCs w:val="24"/>
              </w:rPr>
              <w:t>研究内容一：实质性相似法律标准的解构</w:t>
            </w:r>
          </w:p>
          <w:p w14:paraId="24CC4D16">
            <w:pPr>
              <w:ind w:firstLine="480" w:firstLineChars="200"/>
              <w:rPr>
                <w:rFonts w:hint="eastAsia"/>
                <w:color w:val="000000"/>
                <w:szCs w:val="24"/>
              </w:rPr>
            </w:pPr>
            <w:r>
              <w:rPr>
                <w:rFonts w:hint="eastAsia"/>
                <w:color w:val="000000"/>
                <w:szCs w:val="24"/>
              </w:rPr>
              <w:t>本研究以著作权法中的“实质性相似”为核心研究对象，针对法律标准的模糊性与抽象性，从多维度进行精细化解构。</w:t>
            </w:r>
          </w:p>
          <w:p w14:paraId="4CB60DF9">
            <w:pPr>
              <w:rPr>
                <w:rFonts w:hint="eastAsia"/>
                <w:color w:val="000000"/>
                <w:szCs w:val="24"/>
              </w:rPr>
            </w:pPr>
            <w:r>
              <w:rPr>
                <w:color w:val="000000"/>
                <w:szCs w:val="24"/>
              </w:rPr>
              <w:drawing>
                <wp:inline distT="0" distB="0" distL="0" distR="0">
                  <wp:extent cx="5274310" cy="937260"/>
                  <wp:effectExtent l="0" t="0" r="8890" b="2540"/>
                  <wp:docPr id="127870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415" name="图片 1"/>
                          <pic:cNvPicPr>
                            <a:picLocks noChangeAspect="1"/>
                          </pic:cNvPicPr>
                        </pic:nvPicPr>
                        <pic:blipFill>
                          <a:blip r:embed="rId9"/>
                          <a:stretch>
                            <a:fillRect/>
                          </a:stretch>
                        </pic:blipFill>
                        <pic:spPr>
                          <a:xfrm>
                            <a:off x="0" y="0"/>
                            <a:ext cx="5274310" cy="937260"/>
                          </a:xfrm>
                          <a:prstGeom prst="rect">
                            <a:avLst/>
                          </a:prstGeom>
                        </pic:spPr>
                      </pic:pic>
                    </a:graphicData>
                  </a:graphic>
                </wp:inline>
              </w:drawing>
            </w:r>
          </w:p>
          <w:p w14:paraId="7F42E025">
            <w:pPr>
              <w:ind w:firstLine="482" w:firstLineChars="200"/>
              <w:rPr>
                <w:rFonts w:hint="eastAsia"/>
                <w:b/>
                <w:bCs/>
                <w:color w:val="000000"/>
                <w:szCs w:val="24"/>
              </w:rPr>
            </w:pPr>
            <w:r>
              <w:rPr>
                <w:rFonts w:hint="eastAsia"/>
                <w:b/>
                <w:bCs/>
                <w:color w:val="000000"/>
                <w:szCs w:val="24"/>
              </w:rPr>
              <w:t>研究内容二：实质性相似法律标准的技术性转化</w:t>
            </w:r>
          </w:p>
          <w:p w14:paraId="439DF1B7">
            <w:pPr>
              <w:ind w:firstLine="480" w:firstLineChars="200"/>
              <w:rPr>
                <w:rFonts w:hint="eastAsia"/>
                <w:color w:val="000000"/>
                <w:szCs w:val="24"/>
              </w:rPr>
            </w:pPr>
            <w:r>
              <w:rPr>
                <w:rFonts w:hint="eastAsia"/>
                <w:color w:val="000000"/>
                <w:szCs w:val="24"/>
              </w:rPr>
              <w:t>基于法律解构的成果，本研究提出“多层级相似度量化模型”，将“实质性相似”转化为可计算的技术指标。</w:t>
            </w:r>
          </w:p>
          <w:p w14:paraId="1D4EC024">
            <w:pPr>
              <w:rPr>
                <w:rFonts w:hint="eastAsia"/>
                <w:color w:val="000000"/>
                <w:szCs w:val="24"/>
              </w:rPr>
            </w:pPr>
            <w:r>
              <w:rPr>
                <w:color w:val="000000"/>
                <w:szCs w:val="24"/>
              </w:rPr>
              <w:drawing>
                <wp:inline distT="0" distB="0" distL="0" distR="0">
                  <wp:extent cx="5053965" cy="1185545"/>
                  <wp:effectExtent l="0" t="0" r="635" b="8255"/>
                  <wp:docPr id="24978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0296" name="图片 1"/>
                          <pic:cNvPicPr>
                            <a:picLocks noChangeAspect="1"/>
                          </pic:cNvPicPr>
                        </pic:nvPicPr>
                        <pic:blipFill>
                          <a:blip r:embed="rId10"/>
                          <a:srcRect l="4154" t="13818" b="12958"/>
                          <a:stretch>
                            <a:fillRect/>
                          </a:stretch>
                        </pic:blipFill>
                        <pic:spPr>
                          <a:xfrm>
                            <a:off x="0" y="0"/>
                            <a:ext cx="5055235" cy="1186132"/>
                          </a:xfrm>
                          <a:prstGeom prst="rect">
                            <a:avLst/>
                          </a:prstGeom>
                          <a:ln>
                            <a:noFill/>
                          </a:ln>
                        </pic:spPr>
                      </pic:pic>
                    </a:graphicData>
                  </a:graphic>
                </wp:inline>
              </w:drawing>
            </w:r>
          </w:p>
          <w:p w14:paraId="712DE391">
            <w:pPr>
              <w:ind w:firstLine="482" w:firstLineChars="200"/>
              <w:rPr>
                <w:rFonts w:hint="eastAsia"/>
                <w:b/>
                <w:bCs/>
                <w:color w:val="000000"/>
                <w:szCs w:val="24"/>
              </w:rPr>
            </w:pPr>
            <w:r>
              <w:rPr>
                <w:rFonts w:hint="eastAsia"/>
                <w:b/>
                <w:bCs/>
                <w:color w:val="000000"/>
                <w:szCs w:val="24"/>
              </w:rPr>
              <w:t>研究内容三：AI判定结果的法律合理性与技术可靠性</w:t>
            </w:r>
          </w:p>
          <w:p w14:paraId="08801E40">
            <w:pPr>
              <w:ind w:firstLine="480" w:firstLineChars="200"/>
              <w:rPr>
                <w:rFonts w:hint="eastAsia"/>
                <w:color w:val="000000"/>
                <w:szCs w:val="24"/>
              </w:rPr>
            </w:pPr>
            <w:r>
              <w:rPr>
                <w:rFonts w:hint="eastAsia"/>
                <w:color w:val="000000"/>
                <w:szCs w:val="24"/>
              </w:rPr>
              <w:t>本研究通过“法律-技术双循环验证框架”，对AI判定结果的合理性进行协同校准。</w:t>
            </w:r>
          </w:p>
          <w:p w14:paraId="3615385F">
            <w:pPr>
              <w:rPr>
                <w:rFonts w:hint="eastAsia"/>
                <w:color w:val="000000"/>
                <w:szCs w:val="24"/>
              </w:rPr>
            </w:pPr>
            <w:r>
              <w:rPr>
                <w:color w:val="000000"/>
                <w:szCs w:val="24"/>
              </w:rPr>
              <w:drawing>
                <wp:inline distT="0" distB="0" distL="0" distR="0">
                  <wp:extent cx="5188585" cy="1178560"/>
                  <wp:effectExtent l="0" t="0" r="5715" b="2540"/>
                  <wp:docPr id="331764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4676" name="图片 1"/>
                          <pic:cNvPicPr>
                            <a:picLocks noChangeAspect="1"/>
                          </pic:cNvPicPr>
                        </pic:nvPicPr>
                        <pic:blipFill>
                          <a:blip r:embed="rId11"/>
                          <a:srcRect l="1625" t="9835"/>
                          <a:stretch>
                            <a:fillRect/>
                          </a:stretch>
                        </pic:blipFill>
                        <pic:spPr>
                          <a:xfrm>
                            <a:off x="0" y="0"/>
                            <a:ext cx="5188585" cy="1178877"/>
                          </a:xfrm>
                          <a:prstGeom prst="rect">
                            <a:avLst/>
                          </a:prstGeom>
                          <a:ln>
                            <a:noFill/>
                          </a:ln>
                        </pic:spPr>
                      </pic:pic>
                    </a:graphicData>
                  </a:graphic>
                </wp:inline>
              </w:drawing>
            </w:r>
          </w:p>
          <w:p w14:paraId="6720540D">
            <w:pPr>
              <w:rPr>
                <w:rFonts w:hint="eastAsia"/>
                <w:b/>
                <w:bCs/>
                <w:color w:val="000000"/>
                <w:szCs w:val="24"/>
              </w:rPr>
            </w:pPr>
            <w:r>
              <w:rPr>
                <w:rFonts w:hint="eastAsia"/>
                <w:b/>
                <w:bCs/>
                <w:color w:val="000000"/>
                <w:szCs w:val="24"/>
              </w:rPr>
              <w:t>2.2基本思路</w:t>
            </w:r>
          </w:p>
          <w:p w14:paraId="5E4551C2">
            <w:pPr>
              <w:ind w:firstLine="480" w:firstLineChars="200"/>
              <w:rPr>
                <w:rFonts w:hint="eastAsia"/>
                <w:color w:val="000000"/>
                <w:szCs w:val="24"/>
              </w:rPr>
            </w:pPr>
            <w:r>
              <w:rPr>
                <w:rFonts w:hint="eastAsia"/>
                <w:color w:val="000000"/>
                <w:szCs w:val="24"/>
              </w:rPr>
              <w:t>本研究以“法律逻辑技术化”与“技术方案合法化”双向适配为核心路径，</w:t>
            </w:r>
            <w:r>
              <w:rPr>
                <w:rFonts w:hint="eastAsia"/>
                <w:b/>
                <w:bCs/>
                <w:color w:val="000000"/>
                <w:szCs w:val="24"/>
              </w:rPr>
              <w:t>按照“解构法律标准——技术可操作性转化——法律与技术协同校准”逻辑思路进行</w:t>
            </w:r>
            <w:r>
              <w:rPr>
                <w:rFonts w:hint="eastAsia"/>
                <w:color w:val="000000"/>
                <w:szCs w:val="24"/>
              </w:rPr>
              <w:t>。具体来说：研究内容一对“实质性相似”进行元素拆解（如文字作品的语句结构、图像作品的色彩构图）；研究内容二将“实质性相似”拆分为多层级相似度（如字符重复率、语义相似度、风格相似度）；研究内容三验证AI判定结果的法律合理性与技术可靠性。</w:t>
            </w:r>
          </w:p>
          <w:p w14:paraId="245E73EB">
            <w:pPr>
              <w:rPr>
                <w:rFonts w:hint="eastAsia"/>
                <w:b/>
                <w:bCs/>
                <w:color w:val="000000"/>
                <w:szCs w:val="24"/>
              </w:rPr>
            </w:pPr>
            <w:r>
              <w:rPr>
                <w:rFonts w:hint="eastAsia"/>
                <w:b/>
                <w:bCs/>
                <w:color w:val="000000"/>
                <w:szCs w:val="24"/>
              </w:rPr>
              <w:t>2.3重点难点</w:t>
            </w:r>
          </w:p>
          <w:p w14:paraId="5691BC30">
            <w:pPr>
              <w:rPr>
                <w:rFonts w:hint="eastAsia"/>
                <w:b/>
                <w:bCs/>
                <w:color w:val="000000"/>
                <w:szCs w:val="24"/>
              </w:rPr>
            </w:pPr>
            <w:r>
              <w:rPr>
                <w:rFonts w:hint="eastAsia"/>
                <w:b/>
                <w:bCs/>
                <w:color w:val="000000"/>
                <w:szCs w:val="24"/>
              </w:rPr>
              <w:t>2.3.1重点</w:t>
            </w:r>
          </w:p>
          <w:p w14:paraId="2FED51A9">
            <w:pPr>
              <w:ind w:firstLine="482" w:firstLineChars="200"/>
              <w:rPr>
                <w:rFonts w:hint="eastAsia"/>
                <w:color w:val="000000"/>
                <w:szCs w:val="24"/>
              </w:rPr>
            </w:pPr>
            <w:r>
              <w:rPr>
                <w:rFonts w:hint="eastAsia"/>
                <w:b/>
                <w:bCs/>
                <w:color w:val="000000"/>
                <w:szCs w:val="24"/>
              </w:rPr>
              <w:t>（1）</w:t>
            </w:r>
            <w:r>
              <w:rPr>
                <w:b/>
                <w:bCs/>
                <w:color w:val="000000"/>
                <w:szCs w:val="24"/>
              </w:rPr>
              <w:t>法律标准的精细化解构与元素识别</w:t>
            </w:r>
            <w:r>
              <w:rPr>
                <w:rFonts w:hint="eastAsia"/>
                <w:b/>
                <w:bCs/>
                <w:color w:val="000000"/>
                <w:szCs w:val="24"/>
              </w:rPr>
              <w:t>。</w:t>
            </w:r>
            <w:r>
              <w:rPr>
                <w:rFonts w:hint="eastAsia"/>
                <w:color w:val="000000"/>
                <w:szCs w:val="24"/>
              </w:rPr>
              <w:t>需将“实质性相似”这一抽象法律标准拆解为可量化元素（如文字作品的语句结构、图像作品的色彩构图、音乐作品的旋律节奏等），需结合著作权法的“思想-表达二分法”原则，明确哪些元素受法律保护，哪些属于公有领域或通用场景。</w:t>
            </w:r>
          </w:p>
          <w:p w14:paraId="3E627A2A">
            <w:pPr>
              <w:ind w:firstLine="482" w:firstLineChars="200"/>
              <w:rPr>
                <w:rFonts w:hint="eastAsia"/>
                <w:color w:val="000000"/>
                <w:szCs w:val="24"/>
              </w:rPr>
            </w:pPr>
            <w:r>
              <w:rPr>
                <w:rFonts w:hint="eastAsia"/>
                <w:b/>
                <w:bCs/>
                <w:color w:val="000000"/>
                <w:szCs w:val="24"/>
              </w:rPr>
              <w:t>（2）技术指标的层级化转化与模型构建。</w:t>
            </w:r>
            <w:r>
              <w:rPr>
                <w:rFonts w:hint="eastAsia"/>
                <w:color w:val="000000"/>
                <w:szCs w:val="24"/>
              </w:rPr>
              <w:t>需将法律标准转化为技术可操作的指标（如字符重复率、语义相似度、风格相似度），并建立分层权重体系（例如，文字作品中核心情节的语义相似度权重高于词汇重复率）。</w:t>
            </w:r>
          </w:p>
          <w:p w14:paraId="62F578D2">
            <w:pPr>
              <w:rPr>
                <w:rFonts w:hint="eastAsia"/>
                <w:b/>
                <w:bCs/>
                <w:color w:val="000000"/>
                <w:szCs w:val="24"/>
              </w:rPr>
            </w:pPr>
            <w:r>
              <w:rPr>
                <w:rFonts w:hint="eastAsia"/>
                <w:b/>
                <w:bCs/>
                <w:color w:val="000000"/>
                <w:szCs w:val="24"/>
              </w:rPr>
              <w:t>2.3.2难点</w:t>
            </w:r>
          </w:p>
          <w:p w14:paraId="7E28E8C7">
            <w:pPr>
              <w:ind w:firstLine="482" w:firstLineChars="200"/>
              <w:rPr>
                <w:rFonts w:hint="eastAsia"/>
                <w:color w:val="000000"/>
                <w:szCs w:val="24"/>
              </w:rPr>
            </w:pPr>
            <w:r>
              <w:rPr>
                <w:rFonts w:hint="eastAsia"/>
                <w:b/>
                <w:bCs/>
                <w:color w:val="000000"/>
                <w:szCs w:val="24"/>
              </w:rPr>
              <w:t>（1）法律标准的模糊性与技术固化的矛盾。</w:t>
            </w:r>
            <w:r>
              <w:rPr>
                <w:rFonts w:hint="eastAsia"/>
                <w:color w:val="000000"/>
                <w:szCs w:val="24"/>
              </w:rPr>
              <w:t>一方面，法律概念存在模糊边界</w:t>
            </w:r>
            <w:r>
              <w:rPr>
                <w:rFonts w:hint="eastAsia" w:cs="宋体"/>
                <w:color w:val="000000"/>
                <w:szCs w:val="24"/>
              </w:rPr>
              <w:t>，如“核心情节”或“必要场景”的界定存在主观性（如“九层妖塔案”中改编幅度的争议），需通过大量案例标注构建动态知识库以辅助模型学习。</w:t>
            </w:r>
            <w:r>
              <w:rPr>
                <w:rFonts w:hint="eastAsia"/>
                <w:color w:val="000000"/>
                <w:szCs w:val="24"/>
              </w:rPr>
              <w:t>另一方面，需要</w:t>
            </w:r>
            <w:r>
              <w:rPr>
                <w:color w:val="000000"/>
                <w:szCs w:val="24"/>
              </w:rPr>
              <w:t>平衡技术量化与法律灵活性</w:t>
            </w:r>
            <w:r>
              <w:rPr>
                <w:rFonts w:hint="eastAsia"/>
                <w:color w:val="000000"/>
                <w:szCs w:val="24"/>
              </w:rPr>
              <w:t>，</w:t>
            </w:r>
            <w:r>
              <w:rPr>
                <w:color w:val="000000"/>
                <w:szCs w:val="24"/>
              </w:rPr>
              <w:t>技术指标（如相似度阈值）可能机械割裂法律对“整体观感”的考量（如“三步法”与整体观感法的冲突）。</w:t>
            </w:r>
          </w:p>
          <w:p w14:paraId="027707FE">
            <w:pPr>
              <w:ind w:firstLine="482" w:firstLineChars="200"/>
              <w:rPr>
                <w:rFonts w:hint="eastAsia"/>
                <w:color w:val="000000"/>
                <w:szCs w:val="24"/>
              </w:rPr>
            </w:pPr>
            <w:r>
              <w:rPr>
                <w:rFonts w:hint="eastAsia"/>
                <w:b/>
                <w:bCs/>
                <w:color w:val="000000"/>
                <w:szCs w:val="24"/>
              </w:rPr>
              <w:t>（2）技术转化的复杂性。</w:t>
            </w:r>
            <w:r>
              <w:rPr>
                <w:rFonts w:hint="eastAsia"/>
                <w:color w:val="000000"/>
                <w:szCs w:val="24"/>
              </w:rPr>
              <w:t>多层级指标的权重分配存在难题</w:t>
            </w:r>
            <w:r>
              <w:rPr>
                <w:rFonts w:hint="eastAsia" w:cs="宋体"/>
                <w:color w:val="000000"/>
                <w:szCs w:val="24"/>
              </w:rPr>
              <w:t>，例如，文字作品的“语义相似度”需结合上下文逻辑（如庄羽诉郭敬明案中的情节组合相似性），而图像作品的“风格相似度”需避免过度依赖低阶特征（如色彩分布）而忽略创意表达。</w:t>
            </w:r>
          </w:p>
          <w:p w14:paraId="2B7A4BC1">
            <w:pPr>
              <w:rPr>
                <w:rFonts w:hint="eastAsia"/>
                <w:b/>
                <w:bCs/>
                <w:color w:val="000000"/>
                <w:szCs w:val="24"/>
              </w:rPr>
            </w:pPr>
            <w:r>
              <w:rPr>
                <w:rFonts w:hint="eastAsia"/>
                <w:b/>
                <w:bCs/>
                <w:color w:val="000000"/>
                <w:szCs w:val="24"/>
              </w:rPr>
              <w:t>2.4基本观点</w:t>
            </w:r>
          </w:p>
          <w:p w14:paraId="0DB8F29A">
            <w:pPr>
              <w:ind w:firstLine="482" w:firstLineChars="200"/>
              <w:rPr>
                <w:rFonts w:ascii="Times New Roman" w:hAnsi="Times New Roman" w:cs="Times New Roman"/>
                <w:color w:val="000000"/>
                <w:szCs w:val="24"/>
              </w:rPr>
            </w:pPr>
            <w:r>
              <w:rPr>
                <w:rFonts w:hint="eastAsia"/>
                <w:b/>
                <w:bCs/>
                <w:color w:val="000000"/>
                <w:szCs w:val="24"/>
              </w:rPr>
              <w:t>观点1：法律标准的解构与技术转化可实现“实质性相似”判定的标准化与效率提升</w:t>
            </w:r>
            <w:r>
              <w:rPr>
                <w:rFonts w:hint="eastAsia" w:ascii="Times New Roman" w:hAnsi="Times New Roman" w:cs="Times New Roman"/>
                <w:b/>
                <w:bCs/>
                <w:color w:val="000000"/>
                <w:szCs w:val="24"/>
              </w:rPr>
              <w:t>。</w:t>
            </w:r>
            <w:r>
              <w:rPr>
                <w:rFonts w:hint="eastAsia" w:ascii="Times New Roman" w:hAnsi="Times New Roman" w:cs="Times New Roman"/>
                <w:color w:val="000000"/>
                <w:szCs w:val="24"/>
              </w:rPr>
              <w:t>通过将抽象法律标准拆解为可量化的多模态技术指标（如文本语义相似度、图像风格特征），结合“思想-表达二分法”区分受保护元素与公有领域内容，AI系统能显著降低侵权判定的主观性。例如，基于DeepSeek-R1的“多层级相似度模型”通过分层权重体系（核心情节语义权重高于词汇重复率）平衡法律逻辑与技术量化，有效解决了传统司法实践中“整体观感”与“机械阈值”的矛盾。</w:t>
            </w:r>
          </w:p>
          <w:p w14:paraId="49A99B96">
            <w:pPr>
              <w:ind w:firstLine="482" w:firstLineChars="200"/>
              <w:rPr>
                <w:rFonts w:ascii="Times New Roman" w:hAnsi="Times New Roman" w:cs="Times New Roman"/>
                <w:color w:val="000000"/>
                <w:szCs w:val="24"/>
              </w:rPr>
            </w:pPr>
            <w:r>
              <w:rPr>
                <w:rFonts w:hint="eastAsia" w:ascii="Times New Roman" w:hAnsi="Times New Roman" w:cs="Times New Roman"/>
                <w:b/>
                <w:bCs/>
                <w:color w:val="000000"/>
                <w:szCs w:val="24"/>
              </w:rPr>
              <w:t>观点2：生成式</w:t>
            </w:r>
            <w:r>
              <w:rPr>
                <w:rFonts w:ascii="Times New Roman" w:hAnsi="Times New Roman" w:cs="Times New Roman"/>
                <w:b/>
                <w:bCs/>
                <w:color w:val="000000"/>
                <w:szCs w:val="24"/>
              </w:rPr>
              <w:t>AI的“微量相似”问题需动态阈值与案例库支持</w:t>
            </w:r>
            <w:r>
              <w:rPr>
                <w:rFonts w:hint="eastAsia" w:ascii="Times New Roman" w:hAnsi="Times New Roman" w:cs="Times New Roman"/>
                <w:b/>
                <w:bCs/>
                <w:color w:val="000000"/>
                <w:szCs w:val="24"/>
              </w:rPr>
              <w:t>。</w:t>
            </w:r>
            <w:r>
              <w:rPr>
                <w:rFonts w:hint="eastAsia" w:ascii="Times New Roman" w:hAnsi="Times New Roman" w:cs="Times New Roman"/>
                <w:color w:val="000000"/>
                <w:szCs w:val="24"/>
              </w:rPr>
              <w:t>生成式AI的随机性导致作品间存在普遍但微量的相似性（如Copyleaks检测中74.2%的风格趋同），传统“接触+实质性相似”规则面临挑战。研究提出动态侵权阈值调整机制，例如文字作品设定语义相似度&gt;70%、音乐作品叠加旋律与节奏差异权重，并通过案例库标注（如“九层妖塔案”改编幅度争议）校准模型，避免误判。</w:t>
            </w:r>
          </w:p>
          <w:p w14:paraId="31C4FD09">
            <w:pPr>
              <w:rPr>
                <w:rFonts w:hint="eastAsia"/>
                <w:b/>
                <w:bCs/>
                <w:color w:val="000000"/>
                <w:szCs w:val="24"/>
                <w:lang w:val="en-US" w:eastAsia="zh-CN"/>
              </w:rPr>
            </w:pPr>
          </w:p>
          <w:p w14:paraId="36B81283">
            <w:pPr>
              <w:rPr>
                <w:rFonts w:hint="eastAsia"/>
                <w:lang w:val="en-US" w:eastAsia="zh-CN"/>
              </w:rPr>
            </w:pPr>
            <w:r>
              <w:rPr>
                <w:rFonts w:hint="eastAsia"/>
                <w:b/>
                <w:bCs/>
                <w:color w:val="000000"/>
                <w:szCs w:val="24"/>
                <w:lang w:val="en-US" w:eastAsia="zh-CN"/>
              </w:rPr>
              <w:t>3</w:t>
            </w:r>
            <w:r>
              <w:rPr>
                <w:rFonts w:hint="eastAsia"/>
                <w:b/>
                <w:bCs/>
                <w:color w:val="000000"/>
                <w:szCs w:val="24"/>
              </w:rPr>
              <w:t>.[研究</w:t>
            </w:r>
            <w:r>
              <w:rPr>
                <w:rFonts w:hint="eastAsia"/>
                <w:b/>
                <w:bCs/>
                <w:color w:val="000000"/>
                <w:szCs w:val="24"/>
                <w:lang w:val="en-US" w:eastAsia="zh-CN"/>
              </w:rPr>
              <w:t>方法</w:t>
            </w:r>
            <w:r>
              <w:rPr>
                <w:rFonts w:hint="eastAsia"/>
                <w:b/>
                <w:bCs/>
                <w:color w:val="000000"/>
                <w:szCs w:val="24"/>
              </w:rPr>
              <w:t>]</w:t>
            </w:r>
          </w:p>
          <w:p w14:paraId="1F9BEE7C">
            <w:pPr>
              <w:numPr>
                <w:ilvl w:val="0"/>
                <w:numId w:val="0"/>
              </w:numPr>
              <w:rPr>
                <w:rFonts w:hint="eastAsia"/>
                <w:b/>
                <w:bCs/>
                <w:lang w:val="en-US" w:eastAsia="zh-CN"/>
              </w:rPr>
            </w:pPr>
            <w:r>
              <w:rPr>
                <w:rFonts w:hint="eastAsia"/>
                <w:b/>
                <w:bCs/>
                <w:lang w:val="en-US" w:eastAsia="zh-CN"/>
              </w:rPr>
              <w:t>3.1数据采集</w:t>
            </w:r>
          </w:p>
          <w:p w14:paraId="78FE6193">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（1）采集对象：</w:t>
            </w:r>
            <w:r>
              <w:rPr>
                <w:rFonts w:hint="eastAsia"/>
                <w:lang w:val="en-US" w:eastAsia="zh-CN"/>
              </w:rPr>
              <w:t>通过国家版权局、中国版权保护中心、中国裁判文书网等官方权威网站以及北大法宝、威科先行等数据库广泛获取相关案例数据，确保数据的全面性和准确性。</w:t>
            </w:r>
          </w:p>
          <w:p w14:paraId="6A59C0AB">
            <w:pPr>
              <w:numPr>
                <w:ilvl w:val="0"/>
                <w:numId w:val="0"/>
              </w:numPr>
              <w:ind w:leftChars="0" w:firstLine="482" w:firstLineChars="200"/>
              <w:rPr>
                <w:rFonts w:hint="eastAsia"/>
                <w:b/>
                <w:bCs/>
                <w:lang w:val="en-US" w:eastAsia="zh-CN"/>
              </w:rPr>
            </w:pPr>
            <w:r>
              <w:rPr>
                <w:rFonts w:hint="eastAsia"/>
                <w:b/>
                <w:bCs/>
                <w:lang w:val="en-US" w:eastAsia="zh-CN"/>
              </w:rPr>
              <w:t>（2）采集方法：</w:t>
            </w:r>
          </w:p>
          <w:p w14:paraId="397F71AB">
            <w:pPr>
              <w:numPr>
                <w:ilvl w:val="0"/>
                <w:numId w:val="1"/>
              </w:numPr>
              <w:ind w:left="0" w:leftChars="0" w:firstLine="480" w:firstLineChars="200"/>
              <w:rPr>
                <w:rFonts w:hint="eastAsia"/>
                <w:lang w:val="en-US" w:eastAsia="zh-CN"/>
              </w:rPr>
            </w:pPr>
            <w:r>
              <w:rPr>
                <w:rFonts w:hint="eastAsia"/>
                <w:lang w:val="en-US" w:eastAsia="zh-CN"/>
              </w:rPr>
              <w:t>网络爬虫。明确需要抓取的案件类型为著作权侵权案件，明确需要提取的字段（主要包括当事人信息、判决时间、法律条款等），通过编写爬虫程序模拟人类浏览行为，从互联网上批量抓取、解析和存储数据。其核心目标是将非结构化网页内容转化为结构化数据，以供分析或使用。以中国裁判文书网为例，首先要通过POST请求提交搜索参数（如案件类型为著作权侵权）；其次模拟搜索请求，获取案件列表页；接着对列表页中的判决书详情页链接进行解析；然后下载PDF判决书，或解析HTML中的文本内容；最后存储案件的关键信息（判决结果、法律引用等）。</w:t>
            </w:r>
          </w:p>
          <w:p w14:paraId="5DFD1757">
            <w:pPr>
              <w:numPr>
                <w:ilvl w:val="0"/>
                <w:numId w:val="1"/>
              </w:numPr>
              <w:ind w:left="0" w:leftChars="0" w:firstLine="480" w:firstLineChars="200"/>
              <w:rPr>
                <w:rFonts w:hint="eastAsia"/>
                <w:lang w:val="en-US" w:eastAsia="zh-CN"/>
              </w:rPr>
            </w:pPr>
            <w:r>
              <w:rPr>
                <w:rFonts w:hint="eastAsia"/>
                <w:lang w:val="en-US" w:eastAsia="zh-CN"/>
              </w:rPr>
              <w:t>API接口。API接口可以以请求--响应模型、长连接通信等通信模式进行数据的快速调用。对于支持API接口调用的数据源，通过编写接口调用程序批量获取数据。</w:t>
            </w:r>
          </w:p>
          <w:p w14:paraId="51FDA4FF">
            <w:pPr>
              <w:numPr>
                <w:ilvl w:val="0"/>
                <w:numId w:val="0"/>
              </w:numPr>
              <w:rPr>
                <w:rFonts w:hint="eastAsia"/>
                <w:b/>
                <w:bCs/>
                <w:lang w:val="en-US" w:eastAsia="zh-CN"/>
              </w:rPr>
            </w:pPr>
            <w:r>
              <w:rPr>
                <w:rFonts w:hint="eastAsia"/>
                <w:b/>
                <w:bCs/>
                <w:lang w:val="en-US" w:eastAsia="zh-CN"/>
              </w:rPr>
              <w:t>3.2数据处理</w:t>
            </w:r>
          </w:p>
          <w:p w14:paraId="2FF28627">
            <w:pPr>
              <w:numPr>
                <w:ilvl w:val="0"/>
                <w:numId w:val="0"/>
              </w:numPr>
              <w:ind w:firstLine="480" w:firstLineChars="200"/>
              <w:rPr>
                <w:rFonts w:hint="eastAsia"/>
                <w:lang w:val="en-US" w:eastAsia="zh-CN"/>
              </w:rPr>
            </w:pPr>
            <w:r>
              <w:rPr>
                <w:rFonts w:hint="eastAsia"/>
                <w:lang w:val="en-US" w:eastAsia="zh-CN"/>
              </w:rPr>
              <w:t>（1）数据清洗。处理缺失值，通过哈希值或唯一标识（如案件编号ID)去除重复记录，将数据格式进行必要转换以适应后续分析。通过可视化检测、统计方法、业务规则及专业知识进行异常值检测。</w:t>
            </w:r>
          </w:p>
          <w:p w14:paraId="7DE4AC57">
            <w:pPr>
              <w:numPr>
                <w:ilvl w:val="0"/>
                <w:numId w:val="0"/>
              </w:numPr>
              <w:ind w:leftChars="0" w:firstLine="480" w:firstLineChars="200"/>
              <w:rPr>
                <w:rFonts w:hint="eastAsia"/>
                <w:lang w:val="en-US" w:eastAsia="zh-CN"/>
              </w:rPr>
            </w:pPr>
            <w:r>
              <w:rPr>
                <w:rFonts w:hint="eastAsia"/>
                <w:lang w:val="en-US" w:eastAsia="zh-CN"/>
              </w:rPr>
              <w:t>（2）结构化解析与存储。关于具体案件的相似性文本部分，使用正则表达式或NLP工具提取关键信息。而对于当事人信息、法律条款等数据，可以通过CSV、JSON文件保存为结构化格式。</w:t>
            </w:r>
          </w:p>
          <w:p w14:paraId="02C348D9">
            <w:pPr>
              <w:numPr>
                <w:ilvl w:val="0"/>
                <w:numId w:val="0"/>
              </w:numPr>
              <w:ind w:leftChars="0" w:firstLine="480" w:firstLineChars="200"/>
              <w:rPr>
                <w:rFonts w:hint="eastAsia"/>
                <w:lang w:val="en-US" w:eastAsia="zh-CN"/>
              </w:rPr>
            </w:pPr>
            <w:r>
              <w:rPr>
                <w:rFonts w:hint="eastAsia"/>
                <w:lang w:val="en-US" w:eastAsia="zh-CN"/>
              </w:rPr>
              <w:t>（3）统计分析与特征构建。对著作权侵权纠纷易于发生的作品类型进行统计，并对其进行分类处理与分析，并总结归纳出此类案件所具备的共同特征。</w:t>
            </w:r>
          </w:p>
          <w:p w14:paraId="10357D3B">
            <w:pPr>
              <w:numPr>
                <w:ilvl w:val="0"/>
                <w:numId w:val="0"/>
              </w:numPr>
              <w:rPr>
                <w:rFonts w:hint="eastAsia"/>
                <w:b/>
                <w:bCs/>
                <w:lang w:val="en-US" w:eastAsia="zh-CN"/>
              </w:rPr>
            </w:pPr>
            <w:r>
              <w:rPr>
                <w:rFonts w:hint="eastAsia"/>
                <w:b/>
                <w:bCs/>
                <w:lang w:val="en-US" w:eastAsia="zh-CN"/>
              </w:rPr>
              <w:t>3.3建立模型</w:t>
            </w:r>
          </w:p>
          <w:p w14:paraId="276FB448">
            <w:pPr>
              <w:numPr>
                <w:ilvl w:val="0"/>
                <w:numId w:val="0"/>
              </w:numPr>
              <w:ind w:leftChars="0" w:firstLine="480" w:firstLineChars="200"/>
              <w:rPr>
                <w:rFonts w:hint="eastAsia"/>
                <w:lang w:val="en-US" w:eastAsia="zh-CN"/>
              </w:rPr>
            </w:pPr>
            <w:r>
              <w:rPr>
                <w:rFonts w:hint="eastAsia"/>
                <w:lang w:val="en-US" w:eastAsia="zh-CN"/>
              </w:rPr>
              <w:t>（1）DeepSeek-R1-671B模型概述。DeepSeek-R1-671B是一个超大规模语言模型，其名称中的“671B”表示模型参数量达到6710亿级别，属于当前人工智能最前沿的模型之一。与同类模型对比，其具有多语言能力、开源程度高、推理成本低的特点。DeepSeek-R1-671B模型基于Transformer架构，采用混合专家系统（MoE）设计，显著提升模型容量与训练效率。最重要的是，DeepSeek-R1-671B模型具备领域专项能力，尤其对法律条文检索与案例分析推理具有很高的准确率。</w:t>
            </w:r>
          </w:p>
          <w:p w14:paraId="2753B8D1">
            <w:pPr>
              <w:numPr>
                <w:ilvl w:val="0"/>
                <w:numId w:val="0"/>
              </w:numPr>
              <w:ind w:leftChars="0" w:firstLine="480" w:firstLineChars="200"/>
              <w:rPr>
                <w:rFonts w:hint="eastAsia"/>
                <w:lang w:val="en-US" w:eastAsia="zh-CN"/>
              </w:rPr>
            </w:pPr>
            <w:r>
              <w:rPr>
                <w:rFonts w:hint="eastAsia"/>
                <w:lang w:val="en-US" w:eastAsia="zh-CN"/>
              </w:rPr>
              <w:t>（2）数据可视化。识别著作权因作品实质性相似构成侵权的高发领域，将抽象的数据转化为直观的图形，通过对比呈现案件所涉作品类型、时间趋势、地域分布与法律条款引用等。</w:t>
            </w:r>
          </w:p>
          <w:p w14:paraId="45FC6D52">
            <w:pPr>
              <w:numPr>
                <w:ilvl w:val="0"/>
                <w:numId w:val="0"/>
              </w:numPr>
              <w:ind w:leftChars="0" w:firstLine="480" w:firstLineChars="200"/>
              <w:rPr>
                <w:rFonts w:hint="eastAsia"/>
                <w:lang w:val="en-US" w:eastAsia="zh-CN"/>
              </w:rPr>
            </w:pPr>
            <w:r>
              <w:rPr>
                <w:rFonts w:hint="eastAsia"/>
                <w:lang w:val="en-US" w:eastAsia="zh-CN"/>
              </w:rPr>
              <w:t>（3）实质性判断</w:t>
            </w:r>
          </w:p>
          <w:p w14:paraId="412545D2">
            <w:pPr>
              <w:numPr>
                <w:ilvl w:val="0"/>
                <w:numId w:val="2"/>
              </w:numPr>
              <w:ind w:left="0" w:leftChars="0" w:firstLine="480" w:firstLineChars="200"/>
              <w:rPr>
                <w:rFonts w:hint="default"/>
                <w:lang w:val="en-US" w:eastAsia="zh-CN"/>
              </w:rPr>
            </w:pPr>
            <w:r>
              <w:rPr>
                <w:rFonts w:hint="eastAsia"/>
                <w:lang w:val="en-US" w:eastAsia="zh-CN"/>
              </w:rPr>
              <w:t>文字作品。进行文本查重与抄袭检测，具体通过检测连续重复的文本片段、运用词向量模型计算文本语义相似度、使用NLP模型构建情节与人物关系比对、文体与风格检测等方式执行。</w:t>
            </w:r>
          </w:p>
          <w:p w14:paraId="370CA2DC">
            <w:pPr>
              <w:numPr>
                <w:ilvl w:val="0"/>
                <w:numId w:val="2"/>
              </w:numPr>
              <w:ind w:left="0" w:leftChars="0" w:firstLine="480" w:firstLineChars="200"/>
              <w:rPr>
                <w:rFonts w:hint="eastAsia"/>
                <w:lang w:val="en-US" w:eastAsia="zh-CN"/>
              </w:rPr>
            </w:pPr>
            <w:r>
              <w:rPr>
                <w:rFonts w:hint="eastAsia"/>
                <w:lang w:val="en-US" w:eastAsia="zh-CN"/>
              </w:rPr>
              <w:t>美术作品。这一类型的作品需要从视觉特征分析、技术手段检测两方面展开。视觉特征分析主要包括核心视觉元素对比（构图与布局、色彩与色调、笔触与技法等）和主题与符号识别（内容主题、风格流派等）。技术手段检测涵盖数字图像处理（图像哈希、特征匹配）、卷积神经网络三维建模比对等方面。</w:t>
            </w:r>
          </w:p>
          <w:p w14:paraId="247E3077">
            <w:pPr>
              <w:numPr>
                <w:ilvl w:val="0"/>
                <w:numId w:val="2"/>
              </w:numPr>
              <w:ind w:left="0" w:leftChars="0" w:firstLine="400" w:firstLineChars="0"/>
              <w:rPr>
                <w:rFonts w:hint="default"/>
                <w:lang w:val="en-US" w:eastAsia="zh-CN"/>
              </w:rPr>
            </w:pPr>
            <w:r>
              <w:rPr>
                <w:rFonts w:hint="eastAsia"/>
                <w:lang w:val="en-US" w:eastAsia="zh-CN"/>
              </w:rPr>
              <w:t>视听作品。对于视听作品相似性的比较，可以从视频内容比对、音频内容比对、剧本与字幕分析三个维度展开。视频内容比对主要包括关键帧提取与匹配、时序特征分析；音频内容比对主要包括音频指纹分析，如果音频内容包括音乐，还可以通过歌词与旋律对比进行比较；剧本与字幕分析主要包括文本抄袭检测、情节结构相似性等。</w:t>
            </w:r>
          </w:p>
          <w:p w14:paraId="7E0356DA">
            <w:pPr>
              <w:numPr>
                <w:ilvl w:val="0"/>
                <w:numId w:val="0"/>
              </w:numPr>
              <w:rPr>
                <w:rFonts w:hint="default"/>
                <w:lang w:val="en-US" w:eastAsia="zh-CN"/>
              </w:rPr>
            </w:pPr>
            <w:r>
              <w:drawing>
                <wp:inline distT="0" distB="0" distL="114300" distR="114300">
                  <wp:extent cx="5273040" cy="5266055"/>
                  <wp:effectExtent l="0" t="0" r="1016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273040" cy="5266055"/>
                          </a:xfrm>
                          <a:prstGeom prst="rect">
                            <a:avLst/>
                          </a:prstGeom>
                          <a:noFill/>
                          <a:ln>
                            <a:noFill/>
                          </a:ln>
                        </pic:spPr>
                      </pic:pic>
                    </a:graphicData>
                  </a:graphic>
                </wp:inline>
              </w:drawing>
            </w:r>
          </w:p>
          <w:p w14:paraId="07C73A56">
            <w:pPr>
              <w:numPr>
                <w:ilvl w:val="0"/>
                <w:numId w:val="0"/>
              </w:numPr>
              <w:ind w:leftChars="0" w:firstLine="480" w:firstLineChars="200"/>
              <w:rPr>
                <w:rFonts w:hint="eastAsia"/>
                <w:lang w:val="en-US" w:eastAsia="zh-CN"/>
              </w:rPr>
            </w:pPr>
            <w:r>
              <w:rPr>
                <w:rFonts w:hint="eastAsia"/>
                <w:lang w:val="en-US" w:eastAsia="zh-CN"/>
              </w:rPr>
              <w:t>（4）结果呈现。</w:t>
            </w:r>
          </w:p>
          <w:p w14:paraId="5361697A">
            <w:pPr>
              <w:numPr>
                <w:ilvl w:val="0"/>
                <w:numId w:val="3"/>
              </w:numPr>
              <w:ind w:left="0" w:leftChars="0" w:firstLine="480" w:firstLineChars="200"/>
              <w:rPr>
                <w:rFonts w:hint="eastAsia"/>
                <w:lang w:val="en-US" w:eastAsia="zh-CN"/>
              </w:rPr>
            </w:pPr>
            <w:r>
              <w:rPr>
                <w:rFonts w:hint="eastAsia"/>
                <w:lang w:val="en-US" w:eastAsia="zh-CN"/>
              </w:rPr>
              <w:t>作品相似性比对结果。通过训练好的模型对输入的内容进行分类，判断其具体作品类型归属，并按照不同类型作品的相似性比对方法进行相似性比较，并得出最终结论。</w:t>
            </w:r>
          </w:p>
          <w:p w14:paraId="3311C599">
            <w:pPr>
              <w:numPr>
                <w:ilvl w:val="0"/>
                <w:numId w:val="3"/>
              </w:numPr>
              <w:ind w:left="0" w:leftChars="0" w:firstLine="480" w:firstLineChars="200"/>
              <w:rPr>
                <w:rFonts w:hint="eastAsia"/>
                <w:lang w:val="en-US" w:eastAsia="zh-CN"/>
              </w:rPr>
            </w:pPr>
            <w:r>
              <w:rPr>
                <w:rFonts w:hint="eastAsia"/>
                <w:lang w:val="en-US" w:eastAsia="zh-CN"/>
              </w:rPr>
              <w:t>著作权侵权分析。以国家版权局、中国版权保护中心、中国裁判文书网等网站作为依托，根据对历史案件的挖掘处理，按照不同的作品分类，预测输入内容的侵权可能。</w:t>
            </w:r>
          </w:p>
          <w:p w14:paraId="232A20FD">
            <w:pPr>
              <w:numPr>
                <w:ilvl w:val="0"/>
                <w:numId w:val="0"/>
              </w:numPr>
              <w:ind w:leftChars="200"/>
              <w:rPr>
                <w:rFonts w:hint="eastAsia"/>
                <w:lang w:val="en-US" w:eastAsia="zh-CN"/>
              </w:rPr>
            </w:pPr>
          </w:p>
          <w:p w14:paraId="16B220B0">
            <w:pPr>
              <w:rPr>
                <w:rFonts w:hint="default"/>
                <w:lang w:val="en-US" w:eastAsia="zh-CN"/>
              </w:rPr>
            </w:pPr>
            <w:r>
              <w:rPr>
                <w:rFonts w:hint="eastAsia"/>
                <w:b/>
                <w:bCs/>
                <w:color w:val="000000"/>
                <w:szCs w:val="24"/>
                <w:lang w:val="en-US" w:eastAsia="zh-CN"/>
              </w:rPr>
              <w:t>4</w:t>
            </w:r>
            <w:r>
              <w:rPr>
                <w:rFonts w:hint="eastAsia"/>
                <w:b/>
                <w:bCs/>
                <w:color w:val="000000"/>
                <w:szCs w:val="24"/>
              </w:rPr>
              <w:t>.[</w:t>
            </w:r>
            <w:r>
              <w:rPr>
                <w:rFonts w:hint="eastAsia"/>
                <w:b/>
                <w:bCs/>
                <w:color w:val="000000"/>
                <w:szCs w:val="24"/>
                <w:lang w:val="en-US" w:eastAsia="zh-CN"/>
              </w:rPr>
              <w:t>预期成果</w:t>
            </w:r>
            <w:r>
              <w:rPr>
                <w:rFonts w:hint="eastAsia"/>
                <w:b/>
                <w:bCs/>
                <w:color w:val="000000"/>
                <w:szCs w:val="24"/>
              </w:rPr>
              <w:t>]</w:t>
            </w:r>
          </w:p>
          <w:p w14:paraId="6B1CAC8A">
            <w:pPr>
              <w:numPr>
                <w:ilvl w:val="0"/>
                <w:numId w:val="0"/>
              </w:numPr>
              <w:ind w:firstLine="480" w:firstLineChars="200"/>
              <w:rPr>
                <w:rFonts w:hint="eastAsia"/>
                <w:lang w:val="en-US" w:eastAsia="zh-CN"/>
              </w:rPr>
            </w:pPr>
            <w:r>
              <w:rPr>
                <w:rFonts w:hint="eastAsia"/>
                <w:lang w:val="en-US" w:eastAsia="zh-CN"/>
              </w:rPr>
              <w:t>成果形式：训练数据集、技术可行性论证报告、可交互的系统原型界面、功能演示视频</w:t>
            </w:r>
          </w:p>
          <w:p w14:paraId="306B27EA">
            <w:pPr>
              <w:numPr>
                <w:ilvl w:val="0"/>
                <w:numId w:val="0"/>
              </w:numPr>
              <w:ind w:leftChars="0" w:firstLine="480" w:firstLineChars="200"/>
              <w:rPr>
                <w:rFonts w:hint="default"/>
                <w:lang w:val="en-US" w:eastAsia="zh-CN"/>
              </w:rPr>
            </w:pPr>
            <w:r>
              <w:rPr>
                <w:rFonts w:hint="eastAsia"/>
                <w:lang w:val="en-US" w:eastAsia="zh-CN"/>
              </w:rPr>
              <w:t>（1）训练数据集。项目计划从国家版权局、中国版权保护中心、中国裁判文书网等网站收集法律裁判文书和指导性著作权诉讼案例，以构建数据集。数据将分为著作权侵权分析和相似性对比两部分。前者主要包括诉讼人信息、案件争议点、侵权结果、法律数据等，后者主要涵盖作品文本、差异信息等。</w:t>
            </w:r>
          </w:p>
          <w:p w14:paraId="0DDBC023">
            <w:pPr>
              <w:numPr>
                <w:ilvl w:val="0"/>
                <w:numId w:val="0"/>
              </w:numPr>
              <w:ind w:leftChars="0" w:firstLine="480" w:firstLineChars="200"/>
              <w:rPr>
                <w:rFonts w:hint="default"/>
                <w:lang w:val="en-US" w:eastAsia="zh-CN"/>
              </w:rPr>
            </w:pPr>
            <w:r>
              <w:rPr>
                <w:rFonts w:hint="eastAsia"/>
                <w:lang w:val="en-US" w:eastAsia="zh-CN"/>
              </w:rPr>
              <w:t>（2）技术可行性论证报告。产出《基于DeepSeek-R1的作品实质性相似侵权判定系统》技术可行性论证报告一篇，报告将详细阐述项目的具体实现方式，包括整体架构、输入输出方式、使用的算法技术、其他设置等关键信息。</w:t>
            </w:r>
          </w:p>
          <w:p w14:paraId="34BB3986">
            <w:pPr>
              <w:numPr>
                <w:ilvl w:val="0"/>
                <w:numId w:val="0"/>
              </w:numPr>
              <w:ind w:leftChars="0" w:firstLine="480" w:firstLineChars="200"/>
              <w:rPr>
                <w:rFonts w:hint="default"/>
                <w:lang w:val="en-US" w:eastAsia="zh-CN"/>
              </w:rPr>
            </w:pPr>
            <w:r>
              <w:rPr>
                <w:rFonts w:hint="eastAsia"/>
                <w:lang w:val="en-US" w:eastAsia="zh-CN"/>
              </w:rPr>
              <w:t>（3）可交互的系统原型界面。项目的预期成果将以可交互的系统原型界面展现，该界面主要包括导航结构和主体内容区。其中前者主要包括顶部导航栏与侧边菜单栏，后者涵盖了操作按钮与输入控件。</w:t>
            </w:r>
          </w:p>
          <w:p w14:paraId="653BA09D">
            <w:pPr>
              <w:numPr>
                <w:ilvl w:val="0"/>
                <w:numId w:val="0"/>
              </w:numPr>
              <w:ind w:leftChars="0" w:firstLine="480" w:firstLineChars="200"/>
              <w:rPr>
                <w:rFonts w:hint="eastAsia"/>
                <w:lang w:val="en-US" w:eastAsia="zh-CN"/>
              </w:rPr>
            </w:pPr>
            <w:r>
              <w:rPr>
                <w:rFonts w:hint="eastAsia"/>
                <w:lang w:val="en-US" w:eastAsia="zh-CN"/>
              </w:rPr>
              <w:t>（4）功能演示视频。项目将通过视频的形式对上述可交互的系统原型界面进行功能的测验与演示，证明其可行性。</w:t>
            </w:r>
          </w:p>
          <w:p w14:paraId="1685A897">
            <w:pPr>
              <w:numPr>
                <w:ilvl w:val="0"/>
                <w:numId w:val="0"/>
              </w:numPr>
              <w:ind w:leftChars="0" w:firstLine="480" w:firstLineChars="200"/>
              <w:rPr>
                <w:rFonts w:hint="default"/>
                <w:lang w:val="en-US" w:eastAsia="zh-CN"/>
              </w:rPr>
            </w:pPr>
          </w:p>
          <w:p w14:paraId="690FBF93">
            <w:pPr>
              <w:rPr>
                <w:rFonts w:hint="eastAsia"/>
                <w:b/>
                <w:bCs/>
                <w:color w:val="000000"/>
                <w:szCs w:val="24"/>
              </w:rPr>
            </w:pPr>
            <w:r>
              <w:rPr>
                <w:rFonts w:hint="eastAsia"/>
                <w:lang w:val="en-US" w:eastAsia="zh-CN"/>
              </w:rPr>
              <w:t>5</w:t>
            </w:r>
            <w:r>
              <w:rPr>
                <w:rFonts w:hint="eastAsia"/>
                <w:b/>
                <w:bCs/>
                <w:color w:val="000000"/>
                <w:szCs w:val="24"/>
              </w:rPr>
              <w:t>.[</w:t>
            </w:r>
            <w:r>
              <w:rPr>
                <w:rFonts w:hint="eastAsia"/>
                <w:b/>
                <w:bCs/>
                <w:color w:val="000000"/>
                <w:szCs w:val="24"/>
                <w:lang w:val="en-US" w:eastAsia="zh-CN"/>
              </w:rPr>
              <w:t>参考文献</w:t>
            </w:r>
            <w:r>
              <w:rPr>
                <w:rFonts w:hint="eastAsia"/>
                <w:b/>
                <w:bCs/>
                <w:color w:val="000000"/>
                <w:szCs w:val="24"/>
              </w:rPr>
              <w:t>]</w:t>
            </w:r>
          </w:p>
          <w:p w14:paraId="46E5A55A">
            <w:pPr>
              <w:jc w:val="left"/>
              <w:rPr>
                <w:rFonts w:hint="eastAsia"/>
              </w:rPr>
            </w:pPr>
            <w:r>
              <w:rPr>
                <w:rFonts w:hint="eastAsia"/>
              </w:rPr>
              <w:t>[1]梁志文.版权法上实质性相似的判断[J].法学家,2015,(06):37-50+174.DOI:10.16094/j.cnki.1005-0221.2015.06.004.</w:t>
            </w:r>
          </w:p>
          <w:p w14:paraId="73055219">
            <w:pPr>
              <w:jc w:val="left"/>
              <w:rPr>
                <w:rFonts w:hint="eastAsia"/>
              </w:rPr>
            </w:pPr>
            <w:r>
              <w:rPr>
                <w:rFonts w:hint="eastAsia"/>
              </w:rPr>
              <w:t>[2]黄小洵.作品相似侵权判定研究[D].西南政法大学,2015.</w:t>
            </w:r>
          </w:p>
          <w:p w14:paraId="2E2B7235">
            <w:pPr>
              <w:jc w:val="left"/>
              <w:rPr>
                <w:rFonts w:hint="eastAsia"/>
              </w:rPr>
            </w:pPr>
            <w:r>
              <w:rPr>
                <w:rFonts w:hint="eastAsia"/>
              </w:rPr>
              <w:t>[3]何滔.文学作品改编中的实质性相似认定研究[D].贵州财经大学,2023.DOI:10.27731/d.cnki.ggzcj.2023.000546.</w:t>
            </w:r>
          </w:p>
          <w:p w14:paraId="53C92F19">
            <w:pPr>
              <w:jc w:val="left"/>
              <w:rPr>
                <w:rFonts w:hint="eastAsia"/>
              </w:rPr>
            </w:pPr>
            <w:r>
              <w:rPr>
                <w:rFonts w:hint="eastAsia"/>
              </w:rPr>
              <w:t>[4]张艺茹.论美术作品“实质性相似”的认定规则[D].山西大学,2022.DOI:10.27284/d.cnki.gsxiu.2022.000795.</w:t>
            </w:r>
          </w:p>
          <w:p w14:paraId="6820B5BC">
            <w:pPr>
              <w:jc w:val="left"/>
              <w:rPr>
                <w:rFonts w:hint="eastAsia"/>
              </w:rPr>
            </w:pPr>
            <w:r>
              <w:rPr>
                <w:rFonts w:hint="eastAsia"/>
              </w:rPr>
              <w:t>[5]赵玙琪.论美术作品的实质性相似认定规则[D].重庆大学,2023.DOI:10.27670/d.cnki.gcqdu.2023.003643.</w:t>
            </w:r>
          </w:p>
          <w:p w14:paraId="49E8DD77">
            <w:pPr>
              <w:jc w:val="left"/>
              <w:rPr>
                <w:rFonts w:hint="eastAsia"/>
              </w:rPr>
            </w:pPr>
            <w:r>
              <w:rPr>
                <w:rFonts w:hint="eastAsia"/>
              </w:rPr>
              <w:t>[6]钱雨.音乐作品实质性相似认定研究[D].华东政法大学,2022.DOI:10.27150/d.cnki.ghdzc.2022.000792.</w:t>
            </w:r>
          </w:p>
          <w:p w14:paraId="0584F4DA">
            <w:pPr>
              <w:jc w:val="left"/>
              <w:rPr>
                <w:rFonts w:hint="eastAsia"/>
              </w:rPr>
            </w:pPr>
            <w:r>
              <w:rPr>
                <w:rFonts w:hint="eastAsia"/>
              </w:rPr>
              <w:t>[7]胡翦.音乐作品实质性相似认定的范式转换及解决之道[J].人民音乐,2022,(04):68-72.</w:t>
            </w:r>
          </w:p>
          <w:p w14:paraId="58B201C5">
            <w:pPr>
              <w:jc w:val="left"/>
              <w:rPr>
                <w:rFonts w:hint="eastAsia"/>
              </w:rPr>
            </w:pPr>
            <w:r>
              <w:rPr>
                <w:rFonts w:hint="eastAsia"/>
              </w:rPr>
              <w:t>[8]郭启锴.AI时代下文生视频类人工智能法律风险与权益的审视——以Sora为例[J].河南科技,2025,52(05):126-131.DOI:10.19968/j.cnki.hnkj.1003-5168.2025.05.024.</w:t>
            </w:r>
          </w:p>
          <w:p w14:paraId="3FFAD3B5">
            <w:pPr>
              <w:jc w:val="left"/>
              <w:rPr>
                <w:rFonts w:hint="eastAsia"/>
              </w:rPr>
            </w:pPr>
            <w:r>
              <w:rPr>
                <w:rFonts w:hint="eastAsia"/>
              </w:rPr>
              <w:t>[9]http://fd-3s.com/seo/36736.html</w:t>
            </w:r>
          </w:p>
          <w:p w14:paraId="1498AB3C">
            <w:pPr>
              <w:jc w:val="left"/>
              <w:rPr>
                <w:rFonts w:hint="eastAsia"/>
              </w:rPr>
            </w:pPr>
            <w:r>
              <w:rPr>
                <w:rFonts w:hint="eastAsia"/>
              </w:rPr>
              <w:t>[10]https://www.yuzhouseo.com/xinwendongtai/2683.html</w:t>
            </w:r>
          </w:p>
          <w:p w14:paraId="0C33746A">
            <w:pPr>
              <w:jc w:val="left"/>
              <w:rPr>
                <w:rFonts w:ascii="宋体" w:hAnsi="宋体"/>
                <w:sz w:val="24"/>
                <w:szCs w:val="24"/>
              </w:rPr>
            </w:pPr>
            <w:r>
              <w:rPr>
                <w:rFonts w:hint="eastAsia"/>
              </w:rPr>
              <w:t>[11]https://library.qiangtu.com/download/1065/pdf/1065.pdf</w:t>
            </w:r>
          </w:p>
        </w:tc>
      </w:tr>
    </w:tbl>
    <w:p w14:paraId="595762B4">
      <w:pPr>
        <w:widowControl/>
        <w:jc w:val="left"/>
        <w:rPr>
          <w:rFonts w:eastAsia="黑体"/>
          <w:sz w:val="32"/>
        </w:rPr>
      </w:pPr>
      <w:r>
        <w:rPr>
          <w:rFonts w:eastAsia="黑体"/>
          <w:sz w:val="32"/>
        </w:rPr>
        <w:br w:type="page"/>
      </w:r>
    </w:p>
    <w:p w14:paraId="04CF08B0">
      <w:pPr>
        <w:jc w:val="left"/>
        <w:rPr>
          <w:rFonts w:eastAsia="黑体"/>
          <w:sz w:val="32"/>
        </w:rPr>
      </w:pPr>
      <w:r>
        <w:rPr>
          <w:rFonts w:hint="eastAsia" w:eastAsia="黑体"/>
          <w:sz w:val="32"/>
        </w:rPr>
        <w:t>三、完成项目的条件和可行性分析</w:t>
      </w:r>
    </w:p>
    <w:tbl>
      <w:tblPr>
        <w:tblStyle w:val="8"/>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8522"/>
      </w:tblGrid>
      <w:tr w14:paraId="264D37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6987" w:hRule="atLeast"/>
        </w:trPr>
        <w:tc>
          <w:tcPr>
            <w:tcW w:w="5000" w:type="pct"/>
          </w:tcPr>
          <w:p w14:paraId="3C0C6587">
            <w:pPr>
              <w:spacing w:before="180" w:beforeLines="50" w:line="400" w:lineRule="exact"/>
              <w:ind w:left="2284" w:right="74" w:hanging="1819"/>
              <w:jc w:val="left"/>
              <w:rPr>
                <w:rFonts w:hint="eastAsia" w:ascii="宋体"/>
                <w:color w:val="000000"/>
                <w:sz w:val="24"/>
                <w:szCs w:val="24"/>
              </w:rPr>
            </w:pPr>
            <w:r>
              <w:rPr>
                <w:rFonts w:hint="eastAsia" w:ascii="宋体"/>
                <w:b/>
                <w:bCs/>
                <w:color w:val="000000"/>
                <w:sz w:val="24"/>
                <w:szCs w:val="24"/>
              </w:rPr>
              <w:t>1．</w:t>
            </w:r>
            <w:r>
              <w:rPr>
                <w:rFonts w:hint="eastAsia" w:ascii="宋体"/>
                <w:b/>
                <w:color w:val="000000"/>
                <w:sz w:val="24"/>
                <w:szCs w:val="24"/>
              </w:rPr>
              <w:t>[教育和学术简历]</w:t>
            </w:r>
            <w:r>
              <w:rPr>
                <w:rFonts w:hint="eastAsia" w:ascii="宋体"/>
                <w:color w:val="000000"/>
                <w:sz w:val="24"/>
                <w:szCs w:val="24"/>
              </w:rPr>
              <w:t xml:space="preserve">  </w:t>
            </w:r>
          </w:p>
          <w:p w14:paraId="79A717EE">
            <w:pPr>
              <w:pStyle w:val="18"/>
              <w:spacing w:line="219" w:lineRule="auto"/>
              <w:ind w:left="483"/>
            </w:pPr>
            <w:r>
              <w:rPr>
                <w:rFonts w:ascii="Wingdings" w:hAnsi="Wingdings" w:eastAsia="Wingdings" w:cs="Wingdings"/>
                <w:spacing w:val="-1"/>
              </w:rPr>
              <w:t xml:space="preserve">l </w:t>
            </w:r>
            <w:r>
              <w:rPr>
                <w:b/>
                <w:bCs/>
                <w:spacing w:val="-1"/>
              </w:rPr>
              <w:t>第一指导老师：赖晓敏</w:t>
            </w:r>
            <w:r>
              <w:rPr>
                <w:spacing w:val="-1"/>
              </w:rPr>
              <w:t xml:space="preserve">  华中农业大学博士毕业</w:t>
            </w:r>
          </w:p>
          <w:p w14:paraId="6E6BF7AD">
            <w:pPr>
              <w:pStyle w:val="18"/>
              <w:spacing w:before="73" w:line="277" w:lineRule="auto"/>
              <w:ind w:left="113" w:right="253" w:firstLine="479"/>
            </w:pPr>
            <w:r>
              <w:t>长期从事农业专利领域的研究，博士学位论文也围绕中国</w:t>
            </w:r>
            <w:r>
              <w:rPr>
                <w:spacing w:val="-1"/>
              </w:rPr>
              <w:t>农业专利的数量、质量与经</w:t>
            </w:r>
            <w:r>
              <w:t xml:space="preserve"> </w:t>
            </w:r>
            <w:r>
              <w:rPr>
                <w:spacing w:val="-1"/>
              </w:rPr>
              <w:t>济效果开展，部分章节涵盖了技术生命周期划分与泡沫专利测度分析。在过去</w:t>
            </w:r>
            <w:r>
              <w:rPr>
                <w:spacing w:val="-42"/>
              </w:rPr>
              <w:t xml:space="preserve"> </w:t>
            </w:r>
            <w:r>
              <w:rPr>
                <w:spacing w:val="-1"/>
              </w:rPr>
              <w:t>5</w:t>
            </w:r>
            <w:r>
              <w:rPr>
                <w:spacing w:val="-49"/>
              </w:rPr>
              <w:t xml:space="preserve"> </w:t>
            </w:r>
            <w:r>
              <w:rPr>
                <w:spacing w:val="-1"/>
              </w:rPr>
              <w:t>年，主持</w:t>
            </w:r>
            <w:r>
              <w:t xml:space="preserve"> </w:t>
            </w:r>
            <w:r>
              <w:rPr>
                <w:spacing w:val="-1"/>
              </w:rPr>
              <w:t>获批湖北省社会科学基金在内的</w:t>
            </w:r>
            <w:r>
              <w:rPr>
                <w:spacing w:val="-45"/>
              </w:rPr>
              <w:t xml:space="preserve"> </w:t>
            </w:r>
            <w:r>
              <w:rPr>
                <w:spacing w:val="-1"/>
              </w:rPr>
              <w:t>7</w:t>
            </w:r>
            <w:r>
              <w:rPr>
                <w:spacing w:val="-47"/>
              </w:rPr>
              <w:t xml:space="preserve"> </w:t>
            </w:r>
            <w:r>
              <w:rPr>
                <w:spacing w:val="-1"/>
              </w:rPr>
              <w:t>项课题，作为核心成员参与国家自然科学基金在内的国</w:t>
            </w:r>
            <w:r>
              <w:t xml:space="preserve"> </w:t>
            </w:r>
            <w:r>
              <w:rPr>
                <w:spacing w:val="-1"/>
              </w:rPr>
              <w:t>家级课题多项，以第一作者或通讯作者身份发表</w:t>
            </w:r>
            <w:r>
              <w:rPr>
                <w:spacing w:val="-49"/>
              </w:rPr>
              <w:t xml:space="preserve"> </w:t>
            </w:r>
            <w:r>
              <w:rPr>
                <w:spacing w:val="-1"/>
              </w:rPr>
              <w:t>SSCI/CSSC</w:t>
            </w:r>
            <w:r>
              <w:rPr>
                <w:spacing w:val="-2"/>
              </w:rPr>
              <w:t>I/CSCD</w:t>
            </w:r>
            <w:r>
              <w:rPr>
                <w:spacing w:val="-48"/>
              </w:rPr>
              <w:t xml:space="preserve"> </w:t>
            </w:r>
            <w:r>
              <w:rPr>
                <w:spacing w:val="-2"/>
              </w:rPr>
              <w:t>论文</w:t>
            </w:r>
            <w:r>
              <w:rPr>
                <w:spacing w:val="-45"/>
              </w:rPr>
              <w:t xml:space="preserve"> </w:t>
            </w:r>
            <w:r>
              <w:rPr>
                <w:spacing w:val="-2"/>
              </w:rPr>
              <w:t>7</w:t>
            </w:r>
            <w:r>
              <w:rPr>
                <w:spacing w:val="-46"/>
              </w:rPr>
              <w:t xml:space="preserve"> </w:t>
            </w:r>
            <w:r>
              <w:rPr>
                <w:spacing w:val="-2"/>
              </w:rPr>
              <w:t>篇。目前在校承</w:t>
            </w:r>
            <w:r>
              <w:t xml:space="preserve"> </w:t>
            </w:r>
            <w:r>
              <w:rPr>
                <w:spacing w:val="-10"/>
              </w:rPr>
              <w:t>担《计量经济学》《金融数据分析》《Python</w:t>
            </w:r>
            <w:r>
              <w:rPr>
                <w:spacing w:val="-52"/>
              </w:rPr>
              <w:t xml:space="preserve"> </w:t>
            </w:r>
            <w:r>
              <w:rPr>
                <w:spacing w:val="-10"/>
              </w:rPr>
              <w:t>程序设计》《微观经济学》等课程教学任务，</w:t>
            </w:r>
          </w:p>
          <w:p w14:paraId="6543E950">
            <w:pPr>
              <w:pStyle w:val="18"/>
              <w:spacing w:before="1" w:line="218" w:lineRule="auto"/>
              <w:ind w:left="111"/>
            </w:pPr>
            <w:r>
              <w:rPr>
                <w:spacing w:val="-3"/>
              </w:rPr>
              <w:t>在技术和经济理论方面给予本项目指导。</w:t>
            </w:r>
          </w:p>
          <w:p w14:paraId="2BB0618A">
            <w:pPr>
              <w:pStyle w:val="18"/>
              <w:spacing w:before="75" w:line="220" w:lineRule="auto"/>
              <w:ind w:left="601"/>
            </w:pPr>
            <w:r>
              <w:rPr>
                <w:b/>
                <w:bCs/>
                <w:spacing w:val="-5"/>
              </w:rPr>
              <w:t>（1）主持课题</w:t>
            </w:r>
          </w:p>
          <w:p w14:paraId="34B7CD75">
            <w:pPr>
              <w:pStyle w:val="18"/>
              <w:spacing w:before="74" w:line="248" w:lineRule="auto"/>
              <w:ind w:left="132" w:right="255" w:firstLine="497"/>
            </w:pPr>
            <w:r>
              <w:rPr>
                <w:spacing w:val="-4"/>
              </w:rPr>
              <w:t>[1]湖北省高等学校哲学社会科学研究重大项目，“结构视</w:t>
            </w:r>
            <w:r>
              <w:rPr>
                <w:spacing w:val="-5"/>
              </w:rPr>
              <w:t>角下中国农业技术创新质量</w:t>
            </w:r>
            <w:r>
              <w:t xml:space="preserve"> </w:t>
            </w:r>
            <w:r>
              <w:rPr>
                <w:spacing w:val="-4"/>
              </w:rPr>
              <w:t>的演变机理与优化对策研究：以农业专利为例”（23ZD166</w:t>
            </w:r>
            <w:r>
              <w:rPr>
                <w:spacing w:val="-54"/>
              </w:rPr>
              <w:t>），</w:t>
            </w:r>
            <w:r>
              <w:rPr>
                <w:spacing w:val="-5"/>
              </w:rPr>
              <w:t>2024-01</w:t>
            </w:r>
            <w:r>
              <w:rPr>
                <w:spacing w:val="-48"/>
              </w:rPr>
              <w:t xml:space="preserve"> </w:t>
            </w:r>
            <w:r>
              <w:rPr>
                <w:spacing w:val="-5"/>
              </w:rPr>
              <w:t>至</w:t>
            </w:r>
            <w:r>
              <w:rPr>
                <w:spacing w:val="-48"/>
              </w:rPr>
              <w:t xml:space="preserve"> </w:t>
            </w:r>
            <w:r>
              <w:rPr>
                <w:spacing w:val="-5"/>
              </w:rPr>
              <w:t>2025-12，在研。</w:t>
            </w:r>
          </w:p>
          <w:p w14:paraId="321D7FBA">
            <w:pPr>
              <w:pStyle w:val="18"/>
              <w:spacing w:before="75" w:line="248" w:lineRule="auto"/>
              <w:ind w:left="112" w:right="255" w:firstLine="517"/>
            </w:pPr>
            <w:r>
              <w:rPr>
                <w:spacing w:val="-4"/>
              </w:rPr>
              <w:t>[2]湖北省教育厅人文社会科学研究青年项目，“技术生命</w:t>
            </w:r>
            <w:r>
              <w:rPr>
                <w:spacing w:val="-5"/>
              </w:rPr>
              <w:t>周期视域下中国农业专利质</w:t>
            </w:r>
            <w:r>
              <w:t xml:space="preserve"> </w:t>
            </w:r>
            <w:r>
              <w:rPr>
                <w:spacing w:val="-5"/>
              </w:rPr>
              <w:t>量的形成机理与提升路径研究”（22Q064</w:t>
            </w:r>
            <w:r>
              <w:rPr>
                <w:spacing w:val="-50"/>
              </w:rPr>
              <w:t>），</w:t>
            </w:r>
            <w:r>
              <w:rPr>
                <w:spacing w:val="-5"/>
              </w:rPr>
              <w:t>2023-06</w:t>
            </w:r>
            <w:r>
              <w:rPr>
                <w:spacing w:val="-48"/>
              </w:rPr>
              <w:t xml:space="preserve"> </w:t>
            </w:r>
            <w:r>
              <w:rPr>
                <w:spacing w:val="-5"/>
              </w:rPr>
              <w:t>至</w:t>
            </w:r>
            <w:r>
              <w:rPr>
                <w:spacing w:val="-48"/>
              </w:rPr>
              <w:t xml:space="preserve"> </w:t>
            </w:r>
            <w:r>
              <w:rPr>
                <w:spacing w:val="-5"/>
              </w:rPr>
              <w:t>2024-12，在研。</w:t>
            </w:r>
          </w:p>
          <w:p w14:paraId="330645AE">
            <w:pPr>
              <w:pStyle w:val="18"/>
              <w:spacing w:before="76" w:line="248" w:lineRule="auto"/>
              <w:ind w:left="112" w:right="135" w:firstLine="517"/>
            </w:pPr>
            <w:r>
              <w:rPr>
                <w:spacing w:val="-7"/>
              </w:rPr>
              <w:t>[3]湖北省社会科学基金一般项目（后期资</w:t>
            </w:r>
            <w:r>
              <w:rPr>
                <w:spacing w:val="-8"/>
              </w:rPr>
              <w:t>助项目</w:t>
            </w:r>
            <w:r>
              <w:rPr>
                <w:spacing w:val="-2"/>
              </w:rPr>
              <w:t>），</w:t>
            </w:r>
            <w:r>
              <w:rPr>
                <w:spacing w:val="-8"/>
              </w:rPr>
              <w:t>“数量与质量视角下中国农业专利</w:t>
            </w:r>
            <w:r>
              <w:t xml:space="preserve"> </w:t>
            </w:r>
            <w:r>
              <w:rPr>
                <w:spacing w:val="-5"/>
              </w:rPr>
              <w:t>研发不平衡问题研究”（2021144</w:t>
            </w:r>
            <w:r>
              <w:rPr>
                <w:spacing w:val="-54"/>
              </w:rPr>
              <w:t>），</w:t>
            </w:r>
            <w:r>
              <w:rPr>
                <w:spacing w:val="-5"/>
              </w:rPr>
              <w:t>2021-10</w:t>
            </w:r>
            <w:r>
              <w:rPr>
                <w:spacing w:val="-48"/>
              </w:rPr>
              <w:t xml:space="preserve"> </w:t>
            </w:r>
            <w:r>
              <w:rPr>
                <w:spacing w:val="-5"/>
              </w:rPr>
              <w:t>至</w:t>
            </w:r>
            <w:r>
              <w:rPr>
                <w:spacing w:val="-48"/>
              </w:rPr>
              <w:t xml:space="preserve"> </w:t>
            </w:r>
            <w:r>
              <w:rPr>
                <w:spacing w:val="-5"/>
              </w:rPr>
              <w:t>2021</w:t>
            </w:r>
            <w:r>
              <w:rPr>
                <w:spacing w:val="-6"/>
              </w:rPr>
              <w:t>-12，结题。</w:t>
            </w:r>
          </w:p>
          <w:p w14:paraId="349D2C3F">
            <w:pPr>
              <w:pStyle w:val="18"/>
              <w:spacing w:before="75" w:line="248" w:lineRule="auto"/>
              <w:ind w:left="123" w:right="255" w:firstLine="506"/>
            </w:pPr>
            <w:r>
              <w:rPr>
                <w:spacing w:val="-4"/>
              </w:rPr>
              <w:t>[4]武汉工程大学科学基金项目，“专利视角下中国农业技</w:t>
            </w:r>
            <w:r>
              <w:rPr>
                <w:spacing w:val="-5"/>
              </w:rPr>
              <w:t>术创新的质量评价与优化研</w:t>
            </w:r>
            <w:r>
              <w:t xml:space="preserve"> </w:t>
            </w:r>
            <w:r>
              <w:rPr>
                <w:spacing w:val="-7"/>
              </w:rPr>
              <w:t>究”（K202243</w:t>
            </w:r>
            <w:r>
              <w:rPr>
                <w:spacing w:val="-54"/>
              </w:rPr>
              <w:t>），</w:t>
            </w:r>
            <w:r>
              <w:rPr>
                <w:spacing w:val="-7"/>
              </w:rPr>
              <w:t>2022-05</w:t>
            </w:r>
            <w:r>
              <w:rPr>
                <w:spacing w:val="-49"/>
              </w:rPr>
              <w:t xml:space="preserve"> </w:t>
            </w:r>
            <w:r>
              <w:rPr>
                <w:spacing w:val="-7"/>
              </w:rPr>
              <w:t>至</w:t>
            </w:r>
            <w:r>
              <w:rPr>
                <w:spacing w:val="-48"/>
              </w:rPr>
              <w:t xml:space="preserve"> </w:t>
            </w:r>
            <w:r>
              <w:rPr>
                <w:spacing w:val="-7"/>
              </w:rPr>
              <w:t>2024-12，在研。</w:t>
            </w:r>
          </w:p>
          <w:p w14:paraId="168C2205">
            <w:pPr>
              <w:pStyle w:val="18"/>
              <w:spacing w:before="75" w:line="248" w:lineRule="auto"/>
              <w:ind w:left="132" w:right="255" w:firstLine="497"/>
            </w:pPr>
            <w:r>
              <w:rPr>
                <w:spacing w:val="-4"/>
              </w:rPr>
              <w:t>[5]武汉工程大学高等教育研究课题，“数字经济时代高校</w:t>
            </w:r>
            <w:r>
              <w:rPr>
                <w:spacing w:val="-5"/>
              </w:rPr>
              <w:t>经贸类人才大数据分析能力</w:t>
            </w:r>
            <w:r>
              <w:t xml:space="preserve"> </w:t>
            </w:r>
            <w:r>
              <w:rPr>
                <w:spacing w:val="-6"/>
              </w:rPr>
              <w:t>的提升策略研究”（2022YB08</w:t>
            </w:r>
            <w:r>
              <w:rPr>
                <w:spacing w:val="-52"/>
              </w:rPr>
              <w:t>），</w:t>
            </w:r>
            <w:r>
              <w:rPr>
                <w:spacing w:val="-6"/>
              </w:rPr>
              <w:t>2022-06</w:t>
            </w:r>
            <w:r>
              <w:rPr>
                <w:spacing w:val="-48"/>
              </w:rPr>
              <w:t xml:space="preserve"> </w:t>
            </w:r>
            <w:r>
              <w:rPr>
                <w:spacing w:val="-6"/>
              </w:rPr>
              <w:t>至</w:t>
            </w:r>
            <w:r>
              <w:rPr>
                <w:spacing w:val="-48"/>
              </w:rPr>
              <w:t xml:space="preserve"> </w:t>
            </w:r>
            <w:r>
              <w:rPr>
                <w:spacing w:val="-6"/>
              </w:rPr>
              <w:t>2024-06，在研。</w:t>
            </w:r>
          </w:p>
          <w:p w14:paraId="1A522D8A">
            <w:pPr>
              <w:pStyle w:val="18"/>
              <w:spacing w:before="76" w:line="248" w:lineRule="auto"/>
              <w:ind w:left="112" w:right="255" w:firstLine="517"/>
            </w:pPr>
            <w:r>
              <w:rPr>
                <w:spacing w:val="-4"/>
              </w:rPr>
              <w:t>[5]教育部哲学社会科学研究重大课题攻关项目衍生课题，</w:t>
            </w:r>
            <w:r>
              <w:rPr>
                <w:spacing w:val="-5"/>
              </w:rPr>
              <w:t>“科技支撑乡村产业兴旺的</w:t>
            </w:r>
            <w:r>
              <w:t xml:space="preserve"> </w:t>
            </w:r>
            <w:r>
              <w:rPr>
                <w:spacing w:val="-6"/>
              </w:rPr>
              <w:t>体制机制运行绩效研究”，2022-08</w:t>
            </w:r>
            <w:r>
              <w:rPr>
                <w:spacing w:val="-43"/>
              </w:rPr>
              <w:t xml:space="preserve"> </w:t>
            </w:r>
            <w:r>
              <w:rPr>
                <w:spacing w:val="-6"/>
              </w:rPr>
              <w:t>至</w:t>
            </w:r>
            <w:r>
              <w:rPr>
                <w:spacing w:val="-47"/>
              </w:rPr>
              <w:t xml:space="preserve"> </w:t>
            </w:r>
            <w:r>
              <w:rPr>
                <w:spacing w:val="-6"/>
              </w:rPr>
              <w:t>2024-05，在研。</w:t>
            </w:r>
          </w:p>
          <w:p w14:paraId="23D56DB5">
            <w:pPr>
              <w:pStyle w:val="18"/>
              <w:spacing w:before="76" w:line="248" w:lineRule="auto"/>
              <w:ind w:left="114" w:right="255" w:firstLine="515"/>
            </w:pPr>
            <w:r>
              <w:rPr>
                <w:spacing w:val="-4"/>
              </w:rPr>
              <w:t>[7]国家现代农业技术产业体系食用菌产业专项衍生课题，</w:t>
            </w:r>
            <w:r>
              <w:rPr>
                <w:spacing w:val="-5"/>
              </w:rPr>
              <w:t>“我国食用菌技术创新的效</w:t>
            </w:r>
            <w:r>
              <w:t xml:space="preserve"> </w:t>
            </w:r>
            <w:r>
              <w:rPr>
                <w:spacing w:val="-6"/>
              </w:rPr>
              <w:t>率分析及其国际比较”，2021-11</w:t>
            </w:r>
            <w:r>
              <w:rPr>
                <w:spacing w:val="-49"/>
              </w:rPr>
              <w:t xml:space="preserve"> </w:t>
            </w:r>
            <w:r>
              <w:rPr>
                <w:spacing w:val="-6"/>
              </w:rPr>
              <w:t>至</w:t>
            </w:r>
            <w:r>
              <w:rPr>
                <w:spacing w:val="-47"/>
              </w:rPr>
              <w:t xml:space="preserve"> </w:t>
            </w:r>
            <w:r>
              <w:rPr>
                <w:spacing w:val="-6"/>
              </w:rPr>
              <w:t>2022-12，结</w:t>
            </w:r>
            <w:r>
              <w:rPr>
                <w:spacing w:val="-7"/>
              </w:rPr>
              <w:t>题。</w:t>
            </w:r>
          </w:p>
          <w:p w14:paraId="619ACEA2">
            <w:pPr>
              <w:pStyle w:val="18"/>
              <w:spacing w:before="74" w:line="221" w:lineRule="auto"/>
              <w:ind w:left="601"/>
            </w:pPr>
            <w:r>
              <w:rPr>
                <w:b/>
                <w:bCs/>
                <w:spacing w:val="-5"/>
              </w:rPr>
              <w:t>（2）参与课题</w:t>
            </w:r>
          </w:p>
          <w:p w14:paraId="486BB39D">
            <w:pPr>
              <w:pStyle w:val="18"/>
              <w:spacing w:before="71" w:line="258" w:lineRule="auto"/>
              <w:ind w:left="111" w:right="254" w:firstLine="518"/>
            </w:pPr>
            <w:r>
              <w:rPr>
                <w:spacing w:val="-8"/>
              </w:rPr>
              <w:t>[1]</w:t>
            </w:r>
            <w:r>
              <w:rPr>
                <w:spacing w:val="34"/>
              </w:rPr>
              <w:t xml:space="preserve"> </w:t>
            </w:r>
            <w:r>
              <w:rPr>
                <w:spacing w:val="-8"/>
              </w:rPr>
              <w:t>国家自然科学基金重点项目，“现代农业科技发展创新体系研究”（713330006</w:t>
            </w:r>
            <w:r>
              <w:rPr>
                <w:spacing w:val="-53"/>
              </w:rPr>
              <w:t>），</w:t>
            </w:r>
            <w:r>
              <w:t xml:space="preserve"> 承担项目阶段性任务实施、年度成果汇报和结题专著编写等工作；</w:t>
            </w:r>
            <w:r>
              <w:rPr>
                <w:spacing w:val="-1"/>
              </w:rPr>
              <w:t>为本项目积累了有关农</w:t>
            </w:r>
            <w:r>
              <w:t xml:space="preserve"> </w:t>
            </w:r>
            <w:r>
              <w:rPr>
                <w:spacing w:val="-2"/>
              </w:rPr>
              <w:t>业科技创新丰富的理论基础和详实的数据资料。</w:t>
            </w:r>
          </w:p>
          <w:p w14:paraId="1A2DEF20">
            <w:pPr>
              <w:pStyle w:val="18"/>
              <w:spacing w:before="76" w:line="219" w:lineRule="auto"/>
              <w:ind w:left="629"/>
            </w:pPr>
            <w:r>
              <w:rPr>
                <w:spacing w:val="-4"/>
              </w:rPr>
              <w:t>[2]国家社会科学基金重点项目，“基于经济高质量发展的</w:t>
            </w:r>
            <w:r>
              <w:rPr>
                <w:spacing w:val="-5"/>
              </w:rPr>
              <w:t>农业自然资源高效利用研</w:t>
            </w:r>
          </w:p>
          <w:p w14:paraId="09F6510F">
            <w:pPr>
              <w:pStyle w:val="18"/>
              <w:spacing w:before="76" w:line="248" w:lineRule="auto"/>
              <w:ind w:left="140" w:right="268" w:hanging="17"/>
            </w:pPr>
            <w:r>
              <w:rPr>
                <w:spacing w:val="-3"/>
              </w:rPr>
              <w:t>究”（20AZD091</w:t>
            </w:r>
            <w:r>
              <w:rPr>
                <w:spacing w:val="-61"/>
                <w:w w:val="97"/>
              </w:rPr>
              <w:t>），</w:t>
            </w:r>
            <w:r>
              <w:rPr>
                <w:spacing w:val="-3"/>
              </w:rPr>
              <w:t>参与内容设计与申报书撰写，执行子课</w:t>
            </w:r>
            <w:r>
              <w:rPr>
                <w:spacing w:val="-4"/>
              </w:rPr>
              <w:t>题的研究任务；为本项目在研究</w:t>
            </w:r>
            <w:r>
              <w:rPr>
                <w:spacing w:val="1"/>
              </w:rPr>
              <w:t xml:space="preserve"> </w:t>
            </w:r>
            <w:r>
              <w:rPr>
                <w:spacing w:val="-4"/>
              </w:rPr>
              <w:t>内容设计、逻辑框架搭建方面积累经验。</w:t>
            </w:r>
          </w:p>
          <w:p w14:paraId="23B64A5A">
            <w:pPr>
              <w:pStyle w:val="18"/>
              <w:spacing w:before="73" w:line="258" w:lineRule="auto"/>
              <w:ind w:left="112" w:right="255" w:firstLine="517"/>
            </w:pPr>
            <w:r>
              <w:rPr>
                <w:spacing w:val="-4"/>
              </w:rPr>
              <w:t>[3]教育部哲学社会科学研究重大课题攻关项目，“乡村产</w:t>
            </w:r>
            <w:r>
              <w:rPr>
                <w:spacing w:val="-5"/>
              </w:rPr>
              <w:t>业兴旺科技支撑的体制机制</w:t>
            </w:r>
            <w:r>
              <w:t xml:space="preserve"> </w:t>
            </w:r>
            <w:r>
              <w:rPr>
                <w:spacing w:val="-3"/>
              </w:rPr>
              <w:t>研究”（21JZD030</w:t>
            </w:r>
            <w:r>
              <w:rPr>
                <w:spacing w:val="-61"/>
                <w:w w:val="97"/>
              </w:rPr>
              <w:t>），</w:t>
            </w:r>
            <w:r>
              <w:rPr>
                <w:spacing w:val="-3"/>
              </w:rPr>
              <w:t>参与课题内容设计与项目申报，协助子课题任务开展；为项目开展提</w:t>
            </w:r>
            <w:r>
              <w:rPr>
                <w:spacing w:val="1"/>
              </w:rPr>
              <w:t xml:space="preserve"> </w:t>
            </w:r>
            <w:r>
              <w:rPr>
                <w:spacing w:val="-3"/>
              </w:rPr>
              <w:t>供学科平台、课题经费和研究人员支持。</w:t>
            </w:r>
          </w:p>
          <w:p w14:paraId="3214976E">
            <w:pPr>
              <w:pStyle w:val="18"/>
              <w:spacing w:before="63" w:line="258" w:lineRule="auto"/>
              <w:ind w:left="113" w:right="135" w:firstLine="516"/>
            </w:pPr>
            <w:r>
              <w:rPr>
                <w:spacing w:val="-4"/>
              </w:rPr>
              <w:t>[4]国家自然科学基金面上项目，“气候框架公约下农业碳</w:t>
            </w:r>
            <w:r>
              <w:rPr>
                <w:spacing w:val="-5"/>
              </w:rPr>
              <w:t>排放的增长机理及减排政策</w:t>
            </w:r>
            <w:r>
              <w:t xml:space="preserve"> </w:t>
            </w:r>
            <w:r>
              <w:rPr>
                <w:spacing w:val="-3"/>
              </w:rPr>
              <w:t>研究”（71273105</w:t>
            </w:r>
            <w:r>
              <w:rPr>
                <w:spacing w:val="-61"/>
                <w:w w:val="97"/>
              </w:rPr>
              <w:t>），</w:t>
            </w:r>
            <w:r>
              <w:rPr>
                <w:spacing w:val="-3"/>
              </w:rPr>
              <w:t>参与项目田野调研、数据资料整理分析和结题专著编写；为本项</w:t>
            </w:r>
            <w:r>
              <w:rPr>
                <w:spacing w:val="-4"/>
              </w:rPr>
              <w:t>目在</w:t>
            </w:r>
            <w:r>
              <w:t xml:space="preserve"> </w:t>
            </w:r>
            <w:r>
              <w:rPr>
                <w:spacing w:val="-2"/>
              </w:rPr>
              <w:t>社会调查、资料整理和报告撰写方面积累经</w:t>
            </w:r>
            <w:r>
              <w:rPr>
                <w:spacing w:val="-3"/>
              </w:rPr>
              <w:t>验。</w:t>
            </w:r>
            <w:r>
              <w:rPr>
                <w:spacing w:val="-5"/>
              </w:rPr>
              <w:t>[5]</w:t>
            </w:r>
            <w:r>
              <w:rPr>
                <w:spacing w:val="33"/>
              </w:rPr>
              <w:t xml:space="preserve"> </w:t>
            </w:r>
            <w:r>
              <w:rPr>
                <w:spacing w:val="-5"/>
              </w:rPr>
              <w:t>国家社会科学基金一般项目，“我国粮食作物育种创新质量的形成机</w:t>
            </w:r>
            <w:r>
              <w:rPr>
                <w:spacing w:val="-6"/>
              </w:rPr>
              <w:t>制及其生产率</w:t>
            </w:r>
            <w:r>
              <w:t xml:space="preserve"> </w:t>
            </w:r>
            <w:r>
              <w:rPr>
                <w:spacing w:val="-3"/>
              </w:rPr>
              <w:t>效应研究”（23BGL213</w:t>
            </w:r>
            <w:r>
              <w:rPr>
                <w:spacing w:val="-61"/>
                <w:w w:val="97"/>
              </w:rPr>
              <w:t>），</w:t>
            </w:r>
            <w:r>
              <w:rPr>
                <w:spacing w:val="-3"/>
              </w:rPr>
              <w:t>参与项目框架设计与方法论证，负责育种创新质量测度分析</w:t>
            </w:r>
            <w:r>
              <w:rPr>
                <w:spacing w:val="-4"/>
              </w:rPr>
              <w:t>；为</w:t>
            </w:r>
            <w:r>
              <w:t xml:space="preserve">  </w:t>
            </w:r>
            <w:r>
              <w:rPr>
                <w:spacing w:val="-2"/>
              </w:rPr>
              <w:t>本项目提供前期内容铺垫、资料共享和经费支持。</w:t>
            </w:r>
          </w:p>
          <w:p w14:paraId="5C0EE95D">
            <w:pPr>
              <w:pStyle w:val="18"/>
              <w:spacing w:before="73" w:line="258" w:lineRule="auto"/>
              <w:ind w:left="116" w:right="135" w:firstLine="513"/>
            </w:pPr>
            <w:r>
              <w:rPr>
                <w:spacing w:val="-5"/>
              </w:rPr>
              <w:t>[6]</w:t>
            </w:r>
            <w:r>
              <w:rPr>
                <w:spacing w:val="32"/>
              </w:rPr>
              <w:t xml:space="preserve"> </w:t>
            </w:r>
            <w:r>
              <w:rPr>
                <w:spacing w:val="-5"/>
              </w:rPr>
              <w:t>中国工程院院士咨询项目，“一带一路”战略背景下中国农业国际合作</w:t>
            </w:r>
            <w:r>
              <w:rPr>
                <w:spacing w:val="-6"/>
              </w:rPr>
              <w:t>发展战略研</w:t>
            </w:r>
            <w:r>
              <w:t xml:space="preserve"> 究（2016-XZ-19-2</w:t>
            </w:r>
            <w:r>
              <w:rPr>
                <w:spacing w:val="-61"/>
                <w:w w:val="97"/>
              </w:rPr>
              <w:t>），</w:t>
            </w:r>
            <w:r>
              <w:t>参与农业高新技术企业走访调查、专题调研</w:t>
            </w:r>
            <w:r>
              <w:rPr>
                <w:spacing w:val="-1"/>
              </w:rPr>
              <w:t>报告和结题报告撰写；为</w:t>
            </w:r>
            <w:r>
              <w:t xml:space="preserve"> </w:t>
            </w:r>
            <w:r>
              <w:rPr>
                <w:spacing w:val="-3"/>
              </w:rPr>
              <w:t>项目中典型国家案例分析部分提供写作经验。</w:t>
            </w:r>
          </w:p>
          <w:p w14:paraId="0A168B15">
            <w:pPr>
              <w:pStyle w:val="18"/>
              <w:spacing w:before="74" w:line="220" w:lineRule="auto"/>
              <w:ind w:left="601"/>
            </w:pPr>
            <w:r>
              <w:rPr>
                <w:b/>
                <w:bCs/>
                <w:spacing w:val="-3"/>
              </w:rPr>
              <w:t>（3）第一作者/通讯作者论文</w:t>
            </w:r>
          </w:p>
          <w:p w14:paraId="26A16E1C">
            <w:pPr>
              <w:pStyle w:val="18"/>
              <w:spacing w:before="75" w:line="245" w:lineRule="auto"/>
              <w:ind w:left="110" w:right="734" w:firstLine="519"/>
            </w:pPr>
            <w:r>
              <w:rPr>
                <w:spacing w:val="-1"/>
              </w:rPr>
              <w:t>[1] Zhaoliang Li, Xiaomin Lai. Do Innovation</w:t>
            </w:r>
            <w:r>
              <w:rPr>
                <w:spacing w:val="22"/>
              </w:rPr>
              <w:t xml:space="preserve"> </w:t>
            </w:r>
            <w:r>
              <w:rPr>
                <w:spacing w:val="-1"/>
              </w:rPr>
              <w:t>Incentive</w:t>
            </w:r>
            <w:r>
              <w:rPr>
                <w:spacing w:val="6"/>
              </w:rPr>
              <w:t xml:space="preserve"> </w:t>
            </w:r>
            <w:r>
              <w:rPr>
                <w:spacing w:val="-1"/>
              </w:rPr>
              <w:t>Pol</w:t>
            </w:r>
            <w:r>
              <w:rPr>
                <w:spacing w:val="-2"/>
              </w:rPr>
              <w:t>icies</w:t>
            </w:r>
            <w:r>
              <w:rPr>
                <w:spacing w:val="2"/>
              </w:rPr>
              <w:t xml:space="preserve"> </w:t>
            </w:r>
            <w:r>
              <w:rPr>
                <w:spacing w:val="-2"/>
              </w:rPr>
              <w:t>Affect</w:t>
            </w:r>
            <w:r>
              <w:t xml:space="preserve"> China’s Agricultural Patent: Based on the Perspective o</w:t>
            </w:r>
            <w:r>
              <w:rPr>
                <w:spacing w:val="-1"/>
              </w:rPr>
              <w:t>f Different</w:t>
            </w:r>
            <w:r>
              <w:rPr>
                <w:spacing w:val="8"/>
              </w:rPr>
              <w:t xml:space="preserve"> </w:t>
            </w:r>
            <w:r>
              <w:rPr>
                <w:spacing w:val="-1"/>
              </w:rPr>
              <w:t>R&amp;D</w:t>
            </w:r>
          </w:p>
          <w:p w14:paraId="411A21FC">
            <w:pPr>
              <w:pStyle w:val="18"/>
              <w:spacing w:before="82" w:line="214" w:lineRule="auto"/>
              <w:ind w:left="113"/>
            </w:pPr>
            <w:r>
              <w:t>Subjects[J]. Journal of the K</w:t>
            </w:r>
            <w:r>
              <w:rPr>
                <w:spacing w:val="-1"/>
              </w:rPr>
              <w:t>nowledge Economy,</w:t>
            </w:r>
            <w:r>
              <w:rPr>
                <w:spacing w:val="14"/>
              </w:rPr>
              <w:t xml:space="preserve"> </w:t>
            </w:r>
            <w:r>
              <w:rPr>
                <w:spacing w:val="-1"/>
              </w:rPr>
              <w:t>2023.</w:t>
            </w:r>
          </w:p>
          <w:p w14:paraId="582EF8F0">
            <w:pPr>
              <w:pStyle w:val="18"/>
              <w:spacing w:before="81" w:line="214" w:lineRule="auto"/>
              <w:ind w:left="109"/>
            </w:pPr>
            <w:r>
              <w:fldChar w:fldCharType="begin"/>
            </w:r>
            <w:r>
              <w:instrText xml:space="preserve"> HYPERLINK "https://doi.org/10.1007/s13132-023-01162-7" </w:instrText>
            </w:r>
            <w:r>
              <w:fldChar w:fldCharType="separate"/>
            </w:r>
            <w:r>
              <w:t>https://doi.org/10.1007/s13132-023-</w:t>
            </w:r>
            <w:r>
              <w:rPr>
                <w:spacing w:val="-1"/>
              </w:rPr>
              <w:t>01162-7</w:t>
            </w:r>
            <w:r>
              <w:rPr>
                <w:spacing w:val="-1"/>
              </w:rPr>
              <w:fldChar w:fldCharType="end"/>
            </w:r>
            <w:r>
              <w:rPr>
                <w:spacing w:val="-1"/>
              </w:rPr>
              <w:t>.（SSCI，共同通讯作者）</w:t>
            </w:r>
          </w:p>
          <w:p w14:paraId="0253AA2F">
            <w:pPr>
              <w:pStyle w:val="18"/>
              <w:spacing w:before="82" w:line="258" w:lineRule="auto"/>
              <w:ind w:left="110" w:right="253" w:firstLine="519"/>
            </w:pPr>
            <w:r>
              <w:rPr>
                <w:spacing w:val="-1"/>
              </w:rPr>
              <w:t>[2] 赖晓敏，张俊飚，张艳，李兆亮，赵丁洁．中国农业科技创新</w:t>
            </w:r>
            <w:r>
              <w:rPr>
                <w:spacing w:val="-2"/>
              </w:rPr>
              <w:t>的空间经济效应—</w:t>
            </w:r>
            <w:r>
              <w:t xml:space="preserve"> —基于种植业专利的实证研究[J]．研究与发展管理，2022，</w:t>
            </w:r>
            <w:r>
              <w:rPr>
                <w:spacing w:val="-1"/>
              </w:rPr>
              <w:t>34（02</w:t>
            </w:r>
            <w:r>
              <w:rPr>
                <w:spacing w:val="-54"/>
              </w:rPr>
              <w:t>）：</w:t>
            </w:r>
            <w:r>
              <w:rPr>
                <w:spacing w:val="-1"/>
              </w:rPr>
              <w:t>68-78. （CSSCI，</w:t>
            </w:r>
            <w:r>
              <w:t xml:space="preserve"> </w:t>
            </w:r>
            <w:r>
              <w:rPr>
                <w:spacing w:val="-4"/>
              </w:rPr>
              <w:t>第一作者）</w:t>
            </w:r>
          </w:p>
          <w:p w14:paraId="287F922C">
            <w:pPr>
              <w:pStyle w:val="18"/>
              <w:spacing w:before="74" w:line="258" w:lineRule="auto"/>
              <w:ind w:left="112" w:right="253" w:firstLine="517"/>
            </w:pPr>
            <w:r>
              <w:rPr>
                <w:spacing w:val="-1"/>
              </w:rPr>
              <w:t>[3] 赖晓敏，张俊飚，李兆亮，张昭，岳梦．地方激励政策与农业</w:t>
            </w:r>
            <w:r>
              <w:rPr>
                <w:spacing w:val="-2"/>
              </w:rPr>
              <w:t>专利增长——基于</w:t>
            </w:r>
            <w:r>
              <w:t xml:space="preserve"> </w:t>
            </w:r>
            <w:r>
              <w:rPr>
                <w:spacing w:val="-1"/>
              </w:rPr>
              <w:t>技术距离矩阵的空间计量分析[J]．地域研究与开发，2021，40（02</w:t>
            </w:r>
            <w:r>
              <w:rPr>
                <w:spacing w:val="-40"/>
              </w:rPr>
              <w:t>）：</w:t>
            </w:r>
            <w:r>
              <w:rPr>
                <w:spacing w:val="-1"/>
              </w:rPr>
              <w:t>103-107. （CSSCI</w:t>
            </w:r>
            <w:r>
              <w:rPr>
                <w:spacing w:val="1"/>
              </w:rPr>
              <w:t xml:space="preserve"> </w:t>
            </w:r>
            <w:r>
              <w:rPr>
                <w:spacing w:val="-3"/>
              </w:rPr>
              <w:t>扩展版，第一作者）</w:t>
            </w:r>
          </w:p>
          <w:p w14:paraId="3DFB8249">
            <w:pPr>
              <w:pStyle w:val="18"/>
              <w:spacing w:before="73" w:line="248" w:lineRule="auto"/>
              <w:ind w:left="112" w:right="134" w:firstLine="517"/>
            </w:pPr>
            <w:r>
              <w:rPr>
                <w:spacing w:val="-2"/>
              </w:rPr>
              <w:t>[4] 赖晓敏，张俊飚，张昭．基于</w:t>
            </w:r>
            <w:r>
              <w:rPr>
                <w:spacing w:val="-32"/>
              </w:rPr>
              <w:t xml:space="preserve"> </w:t>
            </w:r>
            <w:r>
              <w:rPr>
                <w:spacing w:val="-2"/>
              </w:rPr>
              <w:t>1998～2017</w:t>
            </w:r>
            <w:r>
              <w:rPr>
                <w:spacing w:val="-49"/>
              </w:rPr>
              <w:t xml:space="preserve"> </w:t>
            </w:r>
            <w:r>
              <w:rPr>
                <w:spacing w:val="-2"/>
              </w:rPr>
              <w:t>年</w:t>
            </w:r>
            <w:r>
              <w:rPr>
                <w:spacing w:val="-53"/>
              </w:rPr>
              <w:t xml:space="preserve"> </w:t>
            </w:r>
            <w:r>
              <w:rPr>
                <w:spacing w:val="-2"/>
              </w:rPr>
              <w:t>CSS</w:t>
            </w:r>
            <w:r>
              <w:rPr>
                <w:spacing w:val="-3"/>
              </w:rPr>
              <w:t>CI</w:t>
            </w:r>
            <w:r>
              <w:rPr>
                <w:spacing w:val="-48"/>
              </w:rPr>
              <w:t xml:space="preserve"> </w:t>
            </w:r>
            <w:r>
              <w:rPr>
                <w:spacing w:val="-3"/>
              </w:rPr>
              <w:t>文献计量的中国农业科技研究</w:t>
            </w:r>
            <w:r>
              <w:t xml:space="preserve"> </w:t>
            </w:r>
            <w:r>
              <w:rPr>
                <w:spacing w:val="-1"/>
              </w:rPr>
              <w:t>态势分析[J]．科学管理研究，2019，37（03</w:t>
            </w:r>
            <w:r>
              <w:rPr>
                <w:spacing w:val="-47"/>
              </w:rPr>
              <w:t>）：</w:t>
            </w:r>
            <w:r>
              <w:rPr>
                <w:spacing w:val="-1"/>
              </w:rPr>
              <w:t>128-134. （CSSCI，第一作</w:t>
            </w:r>
            <w:r>
              <w:rPr>
                <w:spacing w:val="-2"/>
              </w:rPr>
              <w:t>者）</w:t>
            </w:r>
          </w:p>
          <w:p w14:paraId="650731DA">
            <w:pPr>
              <w:pStyle w:val="18"/>
              <w:spacing w:before="76" w:line="248" w:lineRule="auto"/>
              <w:ind w:left="112" w:right="255" w:firstLine="517"/>
            </w:pPr>
            <w:r>
              <w:rPr>
                <w:spacing w:val="-1"/>
              </w:rPr>
              <w:t>[5] 赖晓敏，张俊飚，张蕙杰，张昭．中国种业科技“走出去”</w:t>
            </w:r>
            <w:r>
              <w:rPr>
                <w:spacing w:val="-2"/>
              </w:rPr>
              <w:t>的现状分析与对策思</w:t>
            </w:r>
            <w:r>
              <w:t xml:space="preserve"> </w:t>
            </w:r>
            <w:r>
              <w:rPr>
                <w:spacing w:val="-1"/>
              </w:rPr>
              <w:t>考[J]．中国工程科学，2019，21（04</w:t>
            </w:r>
            <w:r>
              <w:rPr>
                <w:spacing w:val="-51"/>
              </w:rPr>
              <w:t>）：</w:t>
            </w:r>
            <w:r>
              <w:rPr>
                <w:spacing w:val="-1"/>
              </w:rPr>
              <w:t>53-59. （CSCD，第一作者）</w:t>
            </w:r>
          </w:p>
          <w:p w14:paraId="7A5BE55F">
            <w:pPr>
              <w:pStyle w:val="18"/>
              <w:spacing w:before="75" w:line="248" w:lineRule="auto"/>
              <w:ind w:left="112" w:right="313" w:firstLine="517"/>
            </w:pPr>
            <w:r>
              <w:rPr>
                <w:spacing w:val="-1"/>
              </w:rPr>
              <w:t>[6] 赖晓敏，张俊飚，何可．政府监管质量对农业经济增长</w:t>
            </w:r>
            <w:r>
              <w:rPr>
                <w:spacing w:val="-2"/>
              </w:rPr>
              <w:t>的影响研究——基于</w:t>
            </w:r>
            <w:r>
              <w:rPr>
                <w:spacing w:val="-55"/>
              </w:rPr>
              <w:t xml:space="preserve"> </w:t>
            </w:r>
            <w:r>
              <w:rPr>
                <w:spacing w:val="-2"/>
              </w:rPr>
              <w:t>FAO</w:t>
            </w:r>
            <w:r>
              <w:t xml:space="preserve"> </w:t>
            </w:r>
            <w:r>
              <w:rPr>
                <w:spacing w:val="-4"/>
              </w:rPr>
              <w:t>全球</w:t>
            </w:r>
            <w:r>
              <w:rPr>
                <w:spacing w:val="-49"/>
              </w:rPr>
              <w:t xml:space="preserve"> </w:t>
            </w:r>
            <w:r>
              <w:rPr>
                <w:spacing w:val="-4"/>
              </w:rPr>
              <w:t>45</w:t>
            </w:r>
            <w:r>
              <w:rPr>
                <w:spacing w:val="-50"/>
              </w:rPr>
              <w:t xml:space="preserve"> </w:t>
            </w:r>
            <w:r>
              <w:rPr>
                <w:spacing w:val="-4"/>
              </w:rPr>
              <w:t>个国家的面板数据[J]．华中农业大学学报（社</w:t>
            </w:r>
            <w:r>
              <w:rPr>
                <w:spacing w:val="-5"/>
              </w:rPr>
              <w:t>会科学版</w:t>
            </w:r>
            <w:r>
              <w:rPr>
                <w:spacing w:val="-24"/>
              </w:rPr>
              <w:t>），</w:t>
            </w:r>
            <w:r>
              <w:rPr>
                <w:spacing w:val="-5"/>
              </w:rPr>
              <w:t>2019（06</w:t>
            </w:r>
            <w:r>
              <w:rPr>
                <w:spacing w:val="-24"/>
              </w:rPr>
              <w:t>）：</w:t>
            </w:r>
            <w:r>
              <w:rPr>
                <w:spacing w:val="-5"/>
              </w:rPr>
              <w:t>42-</w:t>
            </w:r>
          </w:p>
          <w:p w14:paraId="219E487B">
            <w:pPr>
              <w:pStyle w:val="18"/>
              <w:spacing w:before="76" w:line="220" w:lineRule="auto"/>
              <w:ind w:left="111"/>
            </w:pPr>
            <w:r>
              <w:rPr>
                <w:spacing w:val="-1"/>
              </w:rPr>
              <w:t>49+161. （CSSCI，第一作者）</w:t>
            </w:r>
          </w:p>
          <w:p w14:paraId="707C5405">
            <w:pPr>
              <w:pStyle w:val="18"/>
              <w:spacing w:before="75" w:line="248" w:lineRule="auto"/>
              <w:ind w:left="115" w:right="187" w:firstLine="514"/>
            </w:pPr>
            <w:r>
              <w:rPr>
                <w:spacing w:val="-2"/>
              </w:rPr>
              <w:t>[7] 赖晓敏，张俊飚，李兆亮．中国农业专利</w:t>
            </w:r>
            <w:r>
              <w:rPr>
                <w:spacing w:val="-3"/>
              </w:rPr>
              <w:t>的分布及影响因素[J]．科技管理研究，</w:t>
            </w:r>
            <w:r>
              <w:t xml:space="preserve"> </w:t>
            </w:r>
            <w:r>
              <w:rPr>
                <w:spacing w:val="-2"/>
              </w:rPr>
              <w:t>2019，39（15</w:t>
            </w:r>
            <w:r>
              <w:rPr>
                <w:spacing w:val="-43"/>
              </w:rPr>
              <w:t>）：</w:t>
            </w:r>
            <w:r>
              <w:rPr>
                <w:spacing w:val="-2"/>
              </w:rPr>
              <w:t>160-169. （CSSCI</w:t>
            </w:r>
            <w:r>
              <w:rPr>
                <w:spacing w:val="-50"/>
              </w:rPr>
              <w:t xml:space="preserve"> </w:t>
            </w:r>
            <w:r>
              <w:rPr>
                <w:spacing w:val="-2"/>
              </w:rPr>
              <w:t>扩展版，第一作者）</w:t>
            </w:r>
          </w:p>
          <w:p w14:paraId="6FBEF9A9">
            <w:pPr>
              <w:pStyle w:val="18"/>
              <w:spacing w:line="219" w:lineRule="auto"/>
              <w:ind w:left="483"/>
            </w:pPr>
            <w:r>
              <w:rPr>
                <w:rFonts w:ascii="Wingdings" w:hAnsi="Wingdings" w:eastAsia="Wingdings" w:cs="Wingdings"/>
                <w:spacing w:val="-1"/>
              </w:rPr>
              <w:t xml:space="preserve">l </w:t>
            </w:r>
            <w:r>
              <w:rPr>
                <w:b/>
                <w:bCs/>
                <w:spacing w:val="-1"/>
              </w:rPr>
              <w:t>第</w:t>
            </w:r>
            <w:r>
              <w:rPr>
                <w:rFonts w:hint="eastAsia"/>
                <w:b/>
                <w:bCs/>
                <w:spacing w:val="-1"/>
                <w:lang w:val="en-US" w:eastAsia="zh-CN"/>
              </w:rPr>
              <w:t>二</w:t>
            </w:r>
            <w:r>
              <w:rPr>
                <w:b/>
                <w:bCs/>
                <w:spacing w:val="-1"/>
              </w:rPr>
              <w:t>指导老师：</w:t>
            </w:r>
            <w:r>
              <w:rPr>
                <w:rFonts w:hint="eastAsia"/>
                <w:b/>
                <w:bCs/>
                <w:spacing w:val="-1"/>
                <w:lang w:val="en-US" w:eastAsia="zh-CN"/>
              </w:rPr>
              <w:t>代江龙</w:t>
            </w:r>
            <w:r>
              <w:rPr>
                <w:spacing w:val="-1"/>
              </w:rPr>
              <w:t xml:space="preserve">  </w:t>
            </w:r>
          </w:p>
          <w:p w14:paraId="4B49E5B0">
            <w:pPr>
              <w:ind w:firstLine="480" w:firstLineChars="200"/>
              <w:rPr>
                <w:rFonts w:hint="eastAsia"/>
              </w:rPr>
            </w:pPr>
            <w:r>
              <w:rPr>
                <w:rFonts w:hint="eastAsia"/>
              </w:rPr>
              <w:t>任武汉工程大学法商学院（知识产权学院）院长助理、法硕中心主任，湖北省商标品牌与地理标志研究院副院长，兼任湖北省知识产权研究会常务理事，武汉知识产权研究会副秘书长。曾任职司法机关，主持国家社会科学基金青年项目</w:t>
            </w:r>
            <w:r>
              <w:rPr>
                <w:rFonts w:hint="eastAsia"/>
                <w:lang w:val="en-US" w:eastAsia="zh-CN"/>
              </w:rPr>
              <w:t>1</w:t>
            </w:r>
            <w:r>
              <w:rPr>
                <w:rFonts w:hint="eastAsia"/>
              </w:rPr>
              <w:t>项、教育部人文社会科学基金青年项目</w:t>
            </w:r>
            <w:r>
              <w:rPr>
                <w:rFonts w:hint="eastAsia"/>
                <w:lang w:val="en-US" w:eastAsia="zh-CN"/>
              </w:rPr>
              <w:t>1</w:t>
            </w:r>
            <w:r>
              <w:rPr>
                <w:rFonts w:hint="eastAsia"/>
              </w:rPr>
              <w:t>项、湖北省科技计划软科学项目、湖北省</w:t>
            </w:r>
            <w:r>
              <w:rPr>
                <w:rFonts w:hint="eastAsia"/>
                <w:lang w:val="en-US" w:eastAsia="zh-CN"/>
              </w:rPr>
              <w:t>1</w:t>
            </w:r>
            <w:r>
              <w:rPr>
                <w:rFonts w:hint="eastAsia"/>
              </w:rPr>
              <w:t>知识产权局软科学项目、湖北省教育厅人文社科项目等省级、厅级科研项目等10余项，参与国家级、省部级项目20余项；出版专著2部，在核心刊物等公开发表学术论文20余篇；主持教育部产学协同育人项目1项、校级教研项目1项，参与省级教研项目2项，主编教材1部，获教学成果奖1项，指导学生获得省级以上奖项多项。</w:t>
            </w:r>
          </w:p>
          <w:p w14:paraId="3B3C1638">
            <w:pPr>
              <w:ind w:firstLine="480" w:firstLineChars="200"/>
              <w:rPr>
                <w:rFonts w:hint="eastAsia" w:eastAsia="宋体"/>
                <w:lang w:eastAsia="zh-CN"/>
              </w:rPr>
            </w:pPr>
            <w:r>
              <w:rPr>
                <w:rFonts w:hint="eastAsia"/>
              </w:rPr>
              <w:t>部分科研项目</w:t>
            </w:r>
            <w:r>
              <w:rPr>
                <w:rFonts w:hint="eastAsia"/>
                <w:lang w:eastAsia="zh-CN"/>
              </w:rPr>
              <w:t>：</w:t>
            </w:r>
          </w:p>
          <w:p w14:paraId="491215EF">
            <w:pPr>
              <w:rPr>
                <w:rFonts w:hint="eastAsia"/>
              </w:rPr>
            </w:pPr>
            <w:r>
              <w:rPr>
                <w:rFonts w:hint="eastAsia"/>
              </w:rPr>
              <w:t>（1）主持国家社会科学基金青年项目《大数据时代新媒体传播权体系研究》；</w:t>
            </w:r>
          </w:p>
          <w:p w14:paraId="500BD2B3">
            <w:pPr>
              <w:rPr>
                <w:rFonts w:hint="eastAsia"/>
              </w:rPr>
            </w:pPr>
            <w:r>
              <w:rPr>
                <w:rFonts w:hint="eastAsia"/>
              </w:rPr>
              <w:t>（2）主持教育部人文社会科学青年项目《大模型训练数据的版权侵权风险应对研究》；</w:t>
            </w:r>
          </w:p>
          <w:p w14:paraId="706E2361">
            <w:pPr>
              <w:rPr>
                <w:rFonts w:hint="eastAsia"/>
              </w:rPr>
            </w:pPr>
            <w:r>
              <w:rPr>
                <w:rFonts w:hint="eastAsia"/>
              </w:rPr>
              <w:t>（3）主持度湖北省科技创新专项（软科学研究项目）《湖北科技型中小企业创新保护支持体系研究》；</w:t>
            </w:r>
          </w:p>
          <w:p w14:paraId="59E5F357">
            <w:pPr>
              <w:rPr>
                <w:rFonts w:hint="eastAsia"/>
              </w:rPr>
            </w:pPr>
            <w:r>
              <w:rPr>
                <w:rFonts w:hint="eastAsia"/>
              </w:rPr>
              <w:t>（4）主持湖北省知识产权服务能力提升工程及软科学研究项目《湖北打造国际知识产权纠纷解决优选地困境与对策研究》；</w:t>
            </w:r>
          </w:p>
          <w:p w14:paraId="408A02ED">
            <w:pPr>
              <w:rPr>
                <w:rFonts w:hint="eastAsia"/>
              </w:rPr>
            </w:pPr>
            <w:r>
              <w:rPr>
                <w:rFonts w:hint="eastAsia"/>
              </w:rPr>
              <w:t>（5）主持湖北省教育厅人文社会科学青年项目《湖北省自贸区知识产权纠纷仲裁机制研究》；</w:t>
            </w:r>
          </w:p>
          <w:p w14:paraId="781ADC80">
            <w:pPr>
              <w:rPr>
                <w:rFonts w:hint="eastAsia"/>
              </w:rPr>
            </w:pPr>
            <w:r>
              <w:rPr>
                <w:rFonts w:hint="eastAsia"/>
              </w:rPr>
              <w:t>（6）主持武汉市知识产权发展项目（知识产权战略研究类）《武汉知识产权纠纷解决优选地建设研究》等。</w:t>
            </w:r>
          </w:p>
          <w:p w14:paraId="7248EFE2">
            <w:pPr>
              <w:ind w:firstLine="480" w:firstLineChars="200"/>
              <w:rPr>
                <w:rFonts w:hint="eastAsia" w:eastAsia="宋体"/>
                <w:lang w:eastAsia="zh-CN"/>
              </w:rPr>
            </w:pPr>
            <w:r>
              <w:rPr>
                <w:rFonts w:hint="eastAsia"/>
              </w:rPr>
              <w:t>部分代表性成果</w:t>
            </w:r>
            <w:r>
              <w:rPr>
                <w:rFonts w:hint="eastAsia"/>
                <w:lang w:eastAsia="zh-CN"/>
              </w:rPr>
              <w:t>：</w:t>
            </w:r>
          </w:p>
          <w:p w14:paraId="1E0D2266">
            <w:pPr>
              <w:rPr>
                <w:rFonts w:hint="eastAsia"/>
              </w:rPr>
            </w:pPr>
            <w:r>
              <w:rPr>
                <w:rFonts w:hint="eastAsia"/>
              </w:rPr>
              <w:t>（1）《大数据时代新媒体传播权体系研究》，知识产权出版社，2024年7月；</w:t>
            </w:r>
          </w:p>
          <w:p w14:paraId="27D75ADB">
            <w:pPr>
              <w:rPr>
                <w:rFonts w:hint="eastAsia"/>
              </w:rPr>
            </w:pPr>
            <w:r>
              <w:rPr>
                <w:rFonts w:hint="eastAsia"/>
              </w:rPr>
              <w:t>（2）《知识产权基础与前沿》，武汉大学出版社，2024年5月；</w:t>
            </w:r>
          </w:p>
          <w:p w14:paraId="5CCC840E">
            <w:pPr>
              <w:rPr>
                <w:rFonts w:hint="eastAsia"/>
              </w:rPr>
            </w:pPr>
            <w:r>
              <w:rPr>
                <w:rFonts w:hint="eastAsia"/>
              </w:rPr>
              <w:t>（3）《专利权效力司法判定程序研究》，知识产权出版社，2023年9月；</w:t>
            </w:r>
          </w:p>
          <w:p w14:paraId="5D1253EA">
            <w:pPr>
              <w:rPr>
                <w:rFonts w:hint="eastAsia"/>
              </w:rPr>
            </w:pPr>
            <w:r>
              <w:rPr>
                <w:rFonts w:hint="eastAsia"/>
              </w:rPr>
              <w:t>（4）《互联网商业模式竞争法保护的实践与反思》，《湖北社会科学》2018年第4期；</w:t>
            </w:r>
          </w:p>
          <w:p w14:paraId="54DD1992">
            <w:pPr>
              <w:rPr>
                <w:rFonts w:hint="eastAsia"/>
              </w:rPr>
            </w:pPr>
            <w:r>
              <w:rPr>
                <w:rFonts w:hint="eastAsia"/>
              </w:rPr>
              <w:t>（5）《服务器软件著作权侵权的责任界分》，《法律适用》2017年第5期；</w:t>
            </w:r>
          </w:p>
          <w:p w14:paraId="7E1B8E4F">
            <w:pPr>
              <w:rPr>
                <w:rFonts w:hint="eastAsia"/>
              </w:rPr>
            </w:pPr>
            <w:r>
              <w:rPr>
                <w:rFonts w:hint="eastAsia"/>
              </w:rPr>
              <w:t>（6）《论服务器软件侵权远程取证的司法认定》，《电子知识产权》2016年第1期；</w:t>
            </w:r>
          </w:p>
          <w:p w14:paraId="27969137">
            <w:pPr>
              <w:rPr>
                <w:rFonts w:hint="eastAsia"/>
              </w:rPr>
            </w:pPr>
            <w:r>
              <w:rPr>
                <w:rFonts w:hint="eastAsia"/>
              </w:rPr>
              <w:t>（7）《试论专利侵权诉讼中无效判定的引入》，《人民司法》2015年第17期；</w:t>
            </w:r>
          </w:p>
          <w:p w14:paraId="52E251E2">
            <w:pPr>
              <w:rPr>
                <w:rFonts w:hint="eastAsia"/>
              </w:rPr>
            </w:pPr>
            <w:r>
              <w:rPr>
                <w:rFonts w:hint="eastAsia"/>
              </w:rPr>
              <w:t>（8）《高校数字图书馆建设的版权风险规避-兼评Authors Guid等诉HathiTrust案》，《图书馆》2015年第11期等。</w:t>
            </w:r>
          </w:p>
          <w:p w14:paraId="2A027CC9">
            <w:pPr>
              <w:pStyle w:val="18"/>
              <w:spacing w:before="78" w:line="219" w:lineRule="auto"/>
              <w:ind w:left="483"/>
            </w:pPr>
            <w:r>
              <w:rPr>
                <w:rFonts w:ascii="Wingdings" w:hAnsi="Wingdings" w:eastAsia="Wingdings" w:cs="Wingdings"/>
                <w:spacing w:val="-1"/>
              </w:rPr>
              <w:t xml:space="preserve">l </w:t>
            </w:r>
            <w:r>
              <w:rPr>
                <w:b/>
                <w:bCs/>
                <w:spacing w:val="-1"/>
              </w:rPr>
              <w:t>项目负责人：</w:t>
            </w:r>
            <w:r>
              <w:rPr>
                <w:rFonts w:hint="eastAsia"/>
                <w:b/>
                <w:bCs/>
                <w:spacing w:val="-1"/>
                <w:lang w:val="en-US" w:eastAsia="zh-CN"/>
              </w:rPr>
              <w:t>陈家更</w:t>
            </w:r>
            <w:r>
              <w:rPr>
                <w:spacing w:val="-1"/>
              </w:rPr>
              <w:t xml:space="preserve">  武汉工程大学本科在读（202</w:t>
            </w:r>
            <w:r>
              <w:rPr>
                <w:rFonts w:hint="eastAsia"/>
                <w:spacing w:val="-1"/>
                <w:lang w:val="en-US" w:eastAsia="zh-CN"/>
              </w:rPr>
              <w:t>3</w:t>
            </w:r>
            <w:r>
              <w:rPr>
                <w:spacing w:val="-1"/>
              </w:rPr>
              <w:t>级）</w:t>
            </w:r>
          </w:p>
          <w:p w14:paraId="45E51858">
            <w:pPr>
              <w:ind w:firstLine="480" w:firstLineChars="200"/>
              <w:rPr>
                <w:rFonts w:hint="eastAsia"/>
              </w:rPr>
            </w:pPr>
            <w:r>
              <w:rPr>
                <w:rFonts w:hint="eastAsia"/>
              </w:rPr>
              <w:t>研究方向为著作权法、专利风险识别。主修知识产权法、</w:t>
            </w:r>
            <w:r>
              <w:rPr>
                <w:rFonts w:hint="eastAsia"/>
                <w:lang w:val="en-US" w:eastAsia="zh-CN"/>
              </w:rPr>
              <w:t>人工智能导论</w:t>
            </w:r>
            <w:r>
              <w:rPr>
                <w:rFonts w:hint="eastAsia"/>
              </w:rPr>
              <w:t>、</w:t>
            </w:r>
            <w:r>
              <w:rPr>
                <w:rFonts w:hint="eastAsia"/>
                <w:lang w:val="en-US" w:eastAsia="zh-CN"/>
              </w:rPr>
              <w:t>Python程序设计、</w:t>
            </w:r>
            <w:r>
              <w:rPr>
                <w:rFonts w:hint="eastAsia"/>
              </w:rPr>
              <w:t>著作权法等。</w:t>
            </w:r>
          </w:p>
          <w:p w14:paraId="200B2232">
            <w:pPr>
              <w:spacing w:before="0" w:after="0" w:line="377" w:lineRule="exact"/>
              <w:ind w:firstLine="480" w:firstLineChars="200"/>
              <w:textAlignment w:val="center"/>
              <w:rPr>
                <w:rFonts w:hint="default"/>
                <w:lang w:val="en-US" w:eastAsia="zh-CN"/>
              </w:rPr>
            </w:pPr>
            <w:r>
              <w:rPr>
                <w:rFonts w:hint="eastAsia"/>
              </w:rPr>
              <w:t>负责人有较丰富竞赛与实践经历，获国家级荣誉4项</w:t>
            </w:r>
            <w:r>
              <w:rPr>
                <w:rFonts w:hint="eastAsia"/>
                <w:lang w:eastAsia="zh-CN"/>
              </w:rPr>
              <w:t>，</w:t>
            </w:r>
            <w:r>
              <w:rPr>
                <w:rFonts w:hint="eastAsia"/>
                <w:lang w:val="en-US" w:eastAsia="zh-CN"/>
              </w:rPr>
              <w:t>省部级荣誉9项</w:t>
            </w:r>
            <w:r>
              <w:rPr>
                <w:rFonts w:hint="eastAsia"/>
              </w:rPr>
              <w:t>。曾获202</w:t>
            </w:r>
            <w:r>
              <w:rPr>
                <w:rFonts w:hint="eastAsia"/>
                <w:lang w:val="en-US" w:eastAsia="zh-CN"/>
              </w:rPr>
              <w:t>5</w:t>
            </w:r>
            <w:r>
              <w:rPr>
                <w:rFonts w:hint="eastAsia"/>
              </w:rPr>
              <w:t>年全国高校商业精英挑战赛品牌策划竞赛省级一等奖、国家级一等奖(</w:t>
            </w:r>
            <w:r>
              <w:rPr>
                <w:rFonts w:hint="eastAsia"/>
                <w:lang w:val="en-US" w:eastAsia="zh-CN"/>
              </w:rPr>
              <w:t>队长</w:t>
            </w:r>
            <w:r>
              <w:rPr>
                <w:rFonts w:hint="eastAsia"/>
              </w:rPr>
              <w:t>)，</w:t>
            </w:r>
            <w:r>
              <w:rPr>
                <w:rFonts w:hint="eastAsia"/>
                <w:lang w:val="en-US" w:eastAsia="zh-CN"/>
              </w:rPr>
              <w:t>全国大学生数字媒体创意竞赛国家级三等奖，睿抗机器人大赛国家级三等奖，模拟政协提案竞赛省级优秀提案等，</w:t>
            </w:r>
            <w:r>
              <w:t>曾参与课题“基于AI的文学抄袭检测系统开发”，负责法律框架设计与相似性阈值研究。擅长运用深度学习工具（如TensorFlow）优化文本比对算法，探索作品接触可能性的多维度证据链构建，为司法实践提供可解释性强的技术方案。</w:t>
            </w:r>
          </w:p>
          <w:p w14:paraId="1EA7FA72">
            <w:pPr>
              <w:pStyle w:val="18"/>
              <w:spacing w:before="1" w:line="218" w:lineRule="auto"/>
              <w:ind w:left="483"/>
            </w:pPr>
            <w:r>
              <w:rPr>
                <w:rFonts w:hint="eastAsia"/>
              </w:rPr>
              <w:t xml:space="preserve"> </w:t>
            </w:r>
            <w:r>
              <w:rPr>
                <w:rFonts w:ascii="Wingdings" w:hAnsi="Wingdings" w:eastAsia="Wingdings" w:cs="Wingdings"/>
                <w:spacing w:val="-2"/>
              </w:rPr>
              <w:t xml:space="preserve">l </w:t>
            </w:r>
            <w:r>
              <w:rPr>
                <w:b/>
                <w:bCs/>
                <w:spacing w:val="-2"/>
              </w:rPr>
              <w:t>项目成员：</w:t>
            </w:r>
            <w:r>
              <w:rPr>
                <w:rFonts w:hint="eastAsia"/>
                <w:b/>
                <w:bCs/>
                <w:spacing w:val="-2"/>
                <w:lang w:val="en-US" w:eastAsia="zh-CN"/>
              </w:rPr>
              <w:t>邢智豪</w:t>
            </w:r>
            <w:r>
              <w:rPr>
                <w:spacing w:val="15"/>
              </w:rPr>
              <w:t xml:space="preserve">  </w:t>
            </w:r>
            <w:r>
              <w:rPr>
                <w:spacing w:val="-2"/>
              </w:rPr>
              <w:t>武汉工程大学本科在读（202</w:t>
            </w:r>
            <w:r>
              <w:rPr>
                <w:rFonts w:hint="eastAsia"/>
                <w:spacing w:val="-2"/>
                <w:lang w:val="en-US" w:eastAsia="zh-CN"/>
              </w:rPr>
              <w:t>3</w:t>
            </w:r>
            <w:r>
              <w:rPr>
                <w:spacing w:val="-2"/>
              </w:rPr>
              <w:t>级）</w:t>
            </w:r>
          </w:p>
          <w:p w14:paraId="008A4B2C">
            <w:pPr>
              <w:pStyle w:val="18"/>
              <w:spacing w:before="1" w:line="218" w:lineRule="auto"/>
              <w:ind w:firstLine="480" w:firstLineChars="200"/>
              <w:jc w:val="left"/>
            </w:pPr>
            <w:r>
              <w:t>聚焦于人工智能驱动的版权侵权风险预警，研究领域涵盖法律文本挖掘、语义相似度计算及侵权场景模拟。主修专利法、大数据分析、司法文书研读、机器学习基础等课程，熟练掌握Python、SQL及法律数据库检索技能。目前专注于多模态数据（文本、图像）的侵权比对技术开发，尝试结合案例库训练模型识别“实质性相似”特征，推动侵权判定从定性到定量的科学化转型。</w:t>
            </w:r>
          </w:p>
          <w:p w14:paraId="6B872F4E">
            <w:pPr>
              <w:pStyle w:val="18"/>
              <w:spacing w:before="1" w:line="218" w:lineRule="auto"/>
              <w:ind w:firstLine="472" w:firstLineChars="200"/>
              <w:jc w:val="left"/>
            </w:pPr>
            <w:r>
              <w:rPr>
                <w:rFonts w:ascii="Wingdings" w:hAnsi="Wingdings" w:eastAsia="Wingdings" w:cs="Wingdings"/>
                <w:spacing w:val="-2"/>
              </w:rPr>
              <w:t xml:space="preserve">l </w:t>
            </w:r>
            <w:r>
              <w:rPr>
                <w:b/>
                <w:bCs/>
                <w:spacing w:val="-2"/>
              </w:rPr>
              <w:t>项目成员：</w:t>
            </w:r>
            <w:r>
              <w:rPr>
                <w:rFonts w:hint="eastAsia"/>
                <w:b/>
                <w:bCs/>
                <w:spacing w:val="-2"/>
                <w:lang w:val="en-US" w:eastAsia="zh-CN"/>
              </w:rPr>
              <w:t>张斐然</w:t>
            </w:r>
            <w:r>
              <w:rPr>
                <w:spacing w:val="15"/>
              </w:rPr>
              <w:t xml:space="preserve">  </w:t>
            </w:r>
            <w:r>
              <w:rPr>
                <w:spacing w:val="-2"/>
              </w:rPr>
              <w:t>武汉工程大学本科在读（202</w:t>
            </w:r>
            <w:r>
              <w:rPr>
                <w:rFonts w:hint="eastAsia"/>
                <w:spacing w:val="-2"/>
                <w:lang w:val="en-US" w:eastAsia="zh-CN"/>
              </w:rPr>
              <w:t>3</w:t>
            </w:r>
            <w:r>
              <w:rPr>
                <w:spacing w:val="-46"/>
              </w:rPr>
              <w:t xml:space="preserve"> </w:t>
            </w:r>
            <w:r>
              <w:rPr>
                <w:spacing w:val="-2"/>
              </w:rPr>
              <w:t>级）</w:t>
            </w:r>
          </w:p>
          <w:p w14:paraId="7CC14410">
            <w:pPr>
              <w:pStyle w:val="18"/>
              <w:spacing w:before="75" w:line="277" w:lineRule="auto"/>
              <w:ind w:left="112" w:right="48" w:firstLine="480"/>
            </w:pPr>
            <w:r>
              <w:t>研究方向为法律大模型在数字内容合规中的应用，重点探索AI模型对作品独创性、接触路径的自动化分析能力。主修著作权法、知识产权商业化、数据清洗与建模、统计学等课程，具备跨学科研究能力。参与202</w:t>
            </w:r>
            <w:r>
              <w:rPr>
                <w:rFonts w:hint="eastAsia"/>
                <w:lang w:val="en-US" w:eastAsia="zh-CN"/>
              </w:rPr>
              <w:t>4</w:t>
            </w:r>
            <w:r>
              <w:t>年“互联网法院裁判文书智能分析”横向课题，负责构建侵权案例标注数据集。擅长利用知识图谱技术关联作品发布时间、传播路径等关键节点，设计基于注意力机制的接触可能性评估算法，致力于解决传统法律实践中证据链冗杂、效率低下的痛点。</w:t>
            </w:r>
            <w:r>
              <w:rPr>
                <w:spacing w:val="-2"/>
              </w:rPr>
              <w:t>曾获</w:t>
            </w:r>
            <w:r>
              <w:rPr>
                <w:spacing w:val="-32"/>
              </w:rPr>
              <w:t xml:space="preserve"> </w:t>
            </w:r>
            <w:r>
              <w:rPr>
                <w:spacing w:val="-2"/>
              </w:rPr>
              <w:t>202</w:t>
            </w:r>
            <w:r>
              <w:rPr>
                <w:rFonts w:hint="eastAsia"/>
                <w:spacing w:val="-2"/>
                <w:lang w:val="en-US" w:eastAsia="zh-CN"/>
              </w:rPr>
              <w:t>5</w:t>
            </w:r>
            <w:r>
              <w:rPr>
                <w:spacing w:val="-2"/>
              </w:rPr>
              <w:t>年全国大学生英语竞赛二等奖。</w:t>
            </w:r>
          </w:p>
          <w:p w14:paraId="4D977C18">
            <w:pPr>
              <w:pStyle w:val="18"/>
              <w:spacing w:before="1" w:line="218" w:lineRule="auto"/>
              <w:ind w:left="483"/>
            </w:pPr>
            <w:r>
              <w:rPr>
                <w:rFonts w:ascii="Wingdings" w:hAnsi="Wingdings" w:eastAsia="Wingdings" w:cs="Wingdings"/>
                <w:spacing w:val="-2"/>
              </w:rPr>
              <w:t xml:space="preserve">l </w:t>
            </w:r>
            <w:r>
              <w:rPr>
                <w:b/>
                <w:bCs/>
                <w:spacing w:val="-2"/>
              </w:rPr>
              <w:t>项目成员：</w:t>
            </w:r>
            <w:r>
              <w:rPr>
                <w:rFonts w:hint="eastAsia"/>
                <w:b/>
                <w:bCs/>
                <w:spacing w:val="-2"/>
                <w:lang w:val="en-US" w:eastAsia="zh-CN"/>
              </w:rPr>
              <w:t>杨子悦</w:t>
            </w:r>
            <w:r>
              <w:rPr>
                <w:spacing w:val="15"/>
              </w:rPr>
              <w:t xml:space="preserve">  </w:t>
            </w:r>
            <w:r>
              <w:rPr>
                <w:spacing w:val="-2"/>
              </w:rPr>
              <w:t>武汉工程大学本科在读（202</w:t>
            </w:r>
            <w:r>
              <w:rPr>
                <w:rFonts w:hint="eastAsia"/>
                <w:spacing w:val="-2"/>
                <w:lang w:val="en-US" w:eastAsia="zh-CN"/>
              </w:rPr>
              <w:t>3</w:t>
            </w:r>
            <w:r>
              <w:rPr>
                <w:spacing w:val="-2"/>
              </w:rPr>
              <w:t>级）</w:t>
            </w:r>
          </w:p>
          <w:p w14:paraId="6850C3C9">
            <w:pPr>
              <w:ind w:firstLine="480" w:firstLineChars="200"/>
              <w:rPr>
                <w:rFonts w:hint="default" w:eastAsia="宋体"/>
                <w:lang w:val="en-US" w:eastAsia="zh-CN"/>
              </w:rPr>
            </w:pPr>
            <w:r>
              <w:t>研究方向涵盖大模型微调、法律语义表征优化及多模态侵权比对系统开发。主修《深度学习原理》《分布式系统设计》《法律信息工程》等课程，深度掌握Transformer架构、Prompt Engineering及模型蒸馏技术。</w:t>
            </w:r>
            <w:r>
              <w:rPr>
                <w:rFonts w:hint="eastAsia"/>
              </w:rPr>
              <w:t>SCI一区在投一篇</w:t>
            </w:r>
            <w:r>
              <w:rPr>
                <w:rFonts w:hint="eastAsia"/>
                <w:lang w:eastAsia="zh-CN"/>
              </w:rPr>
              <w:t>，</w:t>
            </w:r>
            <w:r>
              <w:rPr>
                <w:rFonts w:hint="eastAsia"/>
              </w:rPr>
              <w:t>软著四项</w:t>
            </w:r>
            <w:r>
              <w:rPr>
                <w:rFonts w:hint="eastAsia"/>
                <w:lang w:eastAsia="zh-CN"/>
              </w:rPr>
              <w:t>，</w:t>
            </w:r>
            <w:r>
              <w:rPr>
                <w:rFonts w:hint="eastAsia"/>
              </w:rPr>
              <w:t>蓝桥杯大赛软件赛</w:t>
            </w:r>
            <w:r>
              <w:rPr>
                <w:rFonts w:hint="eastAsia"/>
                <w:lang w:val="en-US" w:eastAsia="zh-CN"/>
              </w:rPr>
              <w:t>湖北省二等奖，</w:t>
            </w:r>
            <w:r>
              <w:rPr>
                <w:rFonts w:hint="eastAsia"/>
              </w:rPr>
              <w:t>全国高校计算机能力挑战赛程序设计挑战赛</w:t>
            </w:r>
            <w:r>
              <w:rPr>
                <w:rFonts w:hint="eastAsia"/>
                <w:lang w:val="en-US" w:eastAsia="zh-CN"/>
              </w:rPr>
              <w:t>省级二等奖。</w:t>
            </w:r>
          </w:p>
          <w:p w14:paraId="13220525">
            <w:pPr>
              <w:pStyle w:val="18"/>
              <w:spacing w:before="1" w:line="218" w:lineRule="auto"/>
              <w:ind w:left="483"/>
            </w:pPr>
            <w:r>
              <w:rPr>
                <w:rFonts w:ascii="Wingdings" w:hAnsi="Wingdings" w:eastAsia="Wingdings" w:cs="Wingdings"/>
                <w:spacing w:val="-2"/>
              </w:rPr>
              <w:t xml:space="preserve">l </w:t>
            </w:r>
            <w:r>
              <w:rPr>
                <w:b/>
                <w:bCs/>
                <w:spacing w:val="-2"/>
              </w:rPr>
              <w:t>项目成员：</w:t>
            </w:r>
            <w:r>
              <w:rPr>
                <w:rFonts w:hint="eastAsia"/>
                <w:b/>
                <w:bCs/>
                <w:spacing w:val="-2"/>
                <w:lang w:val="en-US" w:eastAsia="zh-CN"/>
              </w:rPr>
              <w:t>李永康</w:t>
            </w:r>
            <w:r>
              <w:rPr>
                <w:spacing w:val="15"/>
              </w:rPr>
              <w:t xml:space="preserve">  </w:t>
            </w:r>
            <w:r>
              <w:rPr>
                <w:spacing w:val="-2"/>
              </w:rPr>
              <w:t>武汉工程大学本科在读（202</w:t>
            </w:r>
            <w:r>
              <w:rPr>
                <w:rFonts w:hint="eastAsia"/>
                <w:spacing w:val="-2"/>
                <w:lang w:val="en-US" w:eastAsia="zh-CN"/>
              </w:rPr>
              <w:t>2</w:t>
            </w:r>
            <w:r>
              <w:rPr>
                <w:spacing w:val="-2"/>
              </w:rPr>
              <w:t>级）</w:t>
            </w:r>
          </w:p>
          <w:p w14:paraId="135624CF">
            <w:pPr>
              <w:ind w:firstLine="480" w:firstLineChars="200"/>
              <w:rPr>
                <w:rFonts w:hint="default" w:ascii="宋体"/>
                <w:b/>
                <w:bCs/>
                <w:color w:val="000000"/>
                <w:sz w:val="24"/>
                <w:szCs w:val="24"/>
                <w:lang w:val="en-US"/>
              </w:rPr>
            </w:pPr>
            <w:r>
              <w:t>专注于深度学习模型优化与法律场景落地，研究方向为多模态相似性比对算法开发及模型可解释性增强。主修数据结构、神经网络设计、自然语言处理等课程，精通PyTorch框架与分布式计算技术。</w:t>
            </w:r>
            <w:r>
              <w:rPr>
                <w:rFonts w:hint="eastAsia"/>
                <w:lang w:val="en-US" w:eastAsia="zh-CN"/>
              </w:rPr>
              <w:t>获第五届“华数杯”全国大学生数学建模竞赛国家级二等奖、2024年全国高校商业精英挑战赛品牌策划竞赛国家级一等奖、第十一届全国大学生数字媒体科技作品及创意竞赛国家级二等奖、第十七届中国大学生计算机设计大赛省级一等奖等。</w:t>
            </w:r>
          </w:p>
          <w:p w14:paraId="0FDDBAAB">
            <w:pPr>
              <w:numPr>
                <w:ilvl w:val="0"/>
                <w:numId w:val="4"/>
              </w:numPr>
              <w:spacing w:before="180" w:beforeLines="50" w:line="400" w:lineRule="exact"/>
              <w:ind w:left="2284" w:right="74" w:hanging="1819"/>
              <w:jc w:val="left"/>
              <w:rPr>
                <w:rFonts w:hint="eastAsia" w:ascii="宋体"/>
                <w:b/>
                <w:color w:val="000000"/>
                <w:sz w:val="24"/>
                <w:szCs w:val="24"/>
              </w:rPr>
            </w:pPr>
            <w:r>
              <w:rPr>
                <w:rFonts w:hint="eastAsia" w:ascii="宋体"/>
                <w:b/>
                <w:color w:val="000000"/>
                <w:sz w:val="24"/>
                <w:szCs w:val="24"/>
              </w:rPr>
              <w:t xml:space="preserve">[可行性分析]  </w:t>
            </w:r>
          </w:p>
          <w:p w14:paraId="47D168C2">
            <w:pPr>
              <w:pStyle w:val="18"/>
              <w:spacing w:line="232" w:lineRule="auto"/>
              <w:ind w:firstLine="472" w:firstLineChars="200"/>
              <w:outlineLvl w:val="3"/>
              <w:rPr>
                <w:b/>
                <w:bCs/>
                <w:spacing w:val="-2"/>
              </w:rPr>
            </w:pPr>
            <w:r>
              <w:rPr>
                <w:rFonts w:ascii="Times New Roman" w:hAnsi="Times New Roman" w:eastAsia="Times New Roman" w:cs="Times New Roman"/>
                <w:b/>
                <w:bCs/>
                <w:spacing w:val="-2"/>
              </w:rPr>
              <w:t xml:space="preserve">2.1  </w:t>
            </w:r>
            <w:r>
              <w:rPr>
                <w:b/>
                <w:bCs/>
                <w:spacing w:val="-2"/>
              </w:rPr>
              <w:t>研究计划进度安排</w:t>
            </w:r>
          </w:p>
          <w:p w14:paraId="05C33185">
            <w:pPr>
              <w:pStyle w:val="18"/>
              <w:spacing w:line="232" w:lineRule="auto"/>
              <w:outlineLvl w:val="3"/>
              <w:rPr>
                <w:rFonts w:hint="eastAsia"/>
                <w:b/>
                <w:bCs/>
                <w:spacing w:val="-2"/>
              </w:rPr>
            </w:pPr>
            <w:r>
              <w:drawing>
                <wp:inline distT="0" distB="0" distL="114300" distR="114300">
                  <wp:extent cx="5270500" cy="3065145"/>
                  <wp:effectExtent l="0" t="0" r="0" b="825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3"/>
                          <a:stretch>
                            <a:fillRect/>
                          </a:stretch>
                        </pic:blipFill>
                        <pic:spPr>
                          <a:xfrm>
                            <a:off x="0" y="0"/>
                            <a:ext cx="5270500" cy="3065145"/>
                          </a:xfrm>
                          <a:prstGeom prst="rect">
                            <a:avLst/>
                          </a:prstGeom>
                          <a:noFill/>
                          <a:ln>
                            <a:noFill/>
                          </a:ln>
                        </pic:spPr>
                      </pic:pic>
                    </a:graphicData>
                  </a:graphic>
                </wp:inline>
              </w:drawing>
            </w:r>
          </w:p>
          <w:p w14:paraId="5CA3B3F8">
            <w:pPr>
              <w:ind w:firstLine="482" w:firstLineChars="200"/>
              <w:rPr>
                <w:rFonts w:hint="default"/>
              </w:rPr>
            </w:pPr>
            <w:r>
              <w:rPr>
                <w:rFonts w:hint="default"/>
                <w:b/>
                <w:bCs/>
              </w:rPr>
              <w:t>2024.5.20-6.5：</w:t>
            </w:r>
            <w:r>
              <w:rPr>
                <w:rFonts w:hint="default"/>
              </w:rPr>
              <w:t>数据准备与预处理</w:t>
            </w:r>
            <w:r>
              <w:rPr>
                <w:rFonts w:hint="eastAsia"/>
                <w:lang w:val="en-US" w:eastAsia="zh-CN"/>
              </w:rPr>
              <w:t xml:space="preserve">   </w:t>
            </w:r>
          </w:p>
          <w:p w14:paraId="3C7B79ED">
            <w:pPr>
              <w:ind w:firstLine="480" w:firstLineChars="200"/>
            </w:pPr>
            <w:r>
              <w:rPr>
                <w:rFonts w:hint="default"/>
              </w:rPr>
              <w:t>数据采集：构建多模态作品数据库，标注侵权与非侵权样本；</w:t>
            </w:r>
          </w:p>
          <w:p w14:paraId="55D6FFEF">
            <w:pPr>
              <w:ind w:firstLine="480" w:firstLineChars="200"/>
            </w:pPr>
            <w:r>
              <w:rPr>
                <w:rFonts w:hint="default"/>
              </w:rPr>
              <w:t>数据清洗与对齐：统一数据格式，划分训练集、验证集、测试集。</w:t>
            </w:r>
          </w:p>
          <w:p w14:paraId="6E0D9174">
            <w:pPr>
              <w:ind w:firstLine="482" w:firstLineChars="200"/>
              <w:rPr>
                <w:rFonts w:hint="default"/>
              </w:rPr>
            </w:pPr>
            <w:r>
              <w:rPr>
                <w:rFonts w:hint="default"/>
                <w:b/>
                <w:bCs/>
              </w:rPr>
              <w:t>2024.6.6-6.25：</w:t>
            </w:r>
            <w:r>
              <w:rPr>
                <w:rFonts w:hint="default"/>
              </w:rPr>
              <w:t>模型调优与法律逻辑嵌入</w:t>
            </w:r>
          </w:p>
          <w:p w14:paraId="47670EA6">
            <w:pPr>
              <w:ind w:firstLine="480" w:firstLineChars="200"/>
            </w:pPr>
            <w:r>
              <w:rPr>
                <w:rFonts w:hint="default"/>
              </w:rPr>
              <w:t>DeepSeek-R1分层微调：通用语义理解+ 侵权判定专项优化；</w:t>
            </w:r>
          </w:p>
          <w:p w14:paraId="76D60705">
            <w:pPr>
              <w:ind w:firstLine="480" w:firstLineChars="200"/>
            </w:pPr>
            <w:r>
              <w:rPr>
                <w:rFonts w:hint="default"/>
              </w:rPr>
              <w:t>法律规则编码：设计注意力掩码机制与混合损失函数。</w:t>
            </w:r>
          </w:p>
          <w:p w14:paraId="1FAE0555">
            <w:pPr>
              <w:ind w:firstLine="482" w:firstLineChars="200"/>
              <w:rPr>
                <w:rFonts w:hint="default"/>
              </w:rPr>
            </w:pPr>
            <w:r>
              <w:rPr>
                <w:rFonts w:hint="default"/>
                <w:b/>
                <w:bCs/>
              </w:rPr>
              <w:t>2024.6.26-7.15</w:t>
            </w:r>
            <w:r>
              <w:rPr>
                <w:rFonts w:hint="eastAsia"/>
                <w:b/>
                <w:bCs/>
                <w:lang w:eastAsia="zh-CN"/>
              </w:rPr>
              <w:t>：</w:t>
            </w:r>
            <w:r>
              <w:rPr>
                <w:rFonts w:hint="default"/>
              </w:rPr>
              <w:t>系统开发与可视化界面搭建</w:t>
            </w:r>
          </w:p>
          <w:p w14:paraId="32A95ED9">
            <w:pPr>
              <w:ind w:firstLine="480" w:firstLineChars="200"/>
            </w:pPr>
            <w:r>
              <w:t>核心功能开发</w:t>
            </w:r>
            <w:r>
              <w:rPr>
                <w:rFonts w:hint="default"/>
              </w:rPr>
              <w:t>：开发多模态相似性比对模块（支持文本、图像跨模态分析）；</w:t>
            </w:r>
          </w:p>
          <w:p w14:paraId="391D8159">
            <w:r>
              <w:rPr>
                <w:rFonts w:hint="default"/>
              </w:rPr>
              <w:t>集成证据链追溯功能，可视化作品发布时间、修改历史等接触可能性指标。</w:t>
            </w:r>
          </w:p>
          <w:p w14:paraId="678A1DA9">
            <w:pPr>
              <w:ind w:firstLine="480" w:firstLineChars="200"/>
              <w:rPr>
                <w:rFonts w:hint="default"/>
              </w:rPr>
            </w:pPr>
            <w:r>
              <w:rPr>
                <w:rFonts w:hint="default"/>
              </w:rPr>
              <w:t>用户界面设计：构建Web端交互界面，支持用户上传作品、一键生成侵权风险报告；设计决策溯源面板，展示模型比对关键特征（如文本重复片段、图像局部相似区域）。</w:t>
            </w:r>
          </w:p>
          <w:p w14:paraId="19AEFBA4">
            <w:pPr>
              <w:ind w:firstLine="482" w:firstLineChars="200"/>
              <w:rPr>
                <w:rFonts w:hint="default"/>
              </w:rPr>
            </w:pPr>
            <w:r>
              <w:rPr>
                <w:rFonts w:hint="default"/>
                <w:b/>
                <w:bCs/>
              </w:rPr>
              <w:t>2024.7.16-7.31：</w:t>
            </w:r>
            <w:r>
              <w:rPr>
                <w:rFonts w:hint="default"/>
              </w:rPr>
              <w:t>系统测试与司法验证</w:t>
            </w:r>
          </w:p>
          <w:p w14:paraId="7E6A31A6">
            <w:pPr>
              <w:ind w:firstLine="480" w:firstLineChars="200"/>
            </w:pPr>
            <w:r>
              <w:rPr>
                <w:rFonts w:hint="default"/>
              </w:rPr>
              <w:t>技术性能测试：模型指标评估与压力测试；</w:t>
            </w:r>
          </w:p>
          <w:p w14:paraId="4C70F54E">
            <w:pPr>
              <w:ind w:firstLine="480" w:firstLineChars="200"/>
            </w:pPr>
            <w:r>
              <w:t>司法场景验证</w:t>
            </w:r>
            <w:r>
              <w:rPr>
                <w:rFonts w:hint="default"/>
              </w:rPr>
              <w:t>：与合作律所/法院联合测试，使用真实案例验证系统判定结果与司法裁判的一致性；</w:t>
            </w:r>
          </w:p>
          <w:p w14:paraId="22BE0CEC">
            <w:pPr>
              <w:ind w:firstLine="480" w:firstLineChars="200"/>
            </w:pPr>
            <w:r>
              <w:rPr>
                <w:rFonts w:hint="default"/>
              </w:rPr>
              <w:t>优化可解释性模块，确保算法决策符合《著作权法》证据规则。</w:t>
            </w:r>
          </w:p>
          <w:p w14:paraId="005373B9">
            <w:pPr>
              <w:ind w:firstLine="482" w:firstLineChars="200"/>
              <w:rPr>
                <w:rFonts w:hint="default"/>
              </w:rPr>
            </w:pPr>
            <w:r>
              <w:rPr>
                <w:rFonts w:hint="default"/>
                <w:b/>
                <w:bCs/>
              </w:rPr>
              <w:t>2024.8.1-8.10：</w:t>
            </w:r>
            <w:r>
              <w:rPr>
                <w:rFonts w:hint="default"/>
              </w:rPr>
              <w:t>成果整合与报告撰写</w:t>
            </w:r>
          </w:p>
          <w:p w14:paraId="4F535421">
            <w:pPr>
              <w:ind w:firstLine="480" w:firstLineChars="200"/>
            </w:pPr>
            <w:r>
              <w:rPr>
                <w:rFonts w:hint="default"/>
              </w:rPr>
              <w:t>系统封装与部署：Docker镜像与API文档；</w:t>
            </w:r>
          </w:p>
          <w:p w14:paraId="7DAA4D55">
            <w:pPr>
              <w:ind w:firstLine="480" w:firstLineChars="200"/>
            </w:pPr>
            <w:r>
              <w:rPr>
                <w:rFonts w:hint="default"/>
              </w:rPr>
              <w:t>研究报告撰写：技术白皮书与判定范式总结。</w:t>
            </w:r>
          </w:p>
          <w:p w14:paraId="3241FF58">
            <w:pPr>
              <w:ind w:right="71"/>
              <w:jc w:val="left"/>
              <w:rPr>
                <w:rFonts w:ascii="宋体" w:hAnsi="宋体"/>
                <w:sz w:val="24"/>
                <w:szCs w:val="24"/>
              </w:rPr>
            </w:pPr>
          </w:p>
          <w:p w14:paraId="7A9BB8D9">
            <w:pPr>
              <w:pStyle w:val="18"/>
              <w:spacing w:line="232" w:lineRule="auto"/>
              <w:ind w:firstLine="472" w:firstLineChars="200"/>
              <w:outlineLvl w:val="3"/>
            </w:pPr>
            <w:r>
              <w:rPr>
                <w:rFonts w:ascii="Times New Roman" w:hAnsi="Times New Roman" w:eastAsia="Times New Roman" w:cs="Times New Roman"/>
                <w:b/>
                <w:bCs/>
                <w:spacing w:val="-2"/>
              </w:rPr>
              <w:t xml:space="preserve">2.2  </w:t>
            </w:r>
            <w:r>
              <w:rPr>
                <w:b/>
                <w:bCs/>
                <w:spacing w:val="-2"/>
              </w:rPr>
              <w:t>完成本课题的资料数据设备等条件</w:t>
            </w:r>
          </w:p>
          <w:p w14:paraId="079A1EB8">
            <w:pPr>
              <w:pStyle w:val="18"/>
              <w:spacing w:before="55" w:line="276" w:lineRule="auto"/>
              <w:ind w:left="112" w:right="103" w:firstLine="468" w:firstLineChars="200"/>
              <w:jc w:val="both"/>
              <w:rPr>
                <w:rFonts w:hint="eastAsia" w:ascii="宋体" w:hAnsi="宋体" w:eastAsia="宋体" w:cs="宋体"/>
                <w:sz w:val="24"/>
                <w:szCs w:val="24"/>
                <w:lang w:eastAsia="zh-CN"/>
              </w:rPr>
            </w:pPr>
            <w:r>
              <w:rPr>
                <w:rFonts w:hint="eastAsia" w:ascii="宋体" w:hAnsi="宋体" w:eastAsia="宋体" w:cs="宋体"/>
                <w:spacing w:val="-3"/>
                <w:sz w:val="24"/>
                <w:szCs w:val="24"/>
              </w:rPr>
              <w:t>申请人依托单位武汉工程大学作为面向全国</w:t>
            </w:r>
            <w:r>
              <w:rPr>
                <w:rFonts w:hint="eastAsia" w:ascii="宋体" w:hAnsi="宋体" w:eastAsia="宋体" w:cs="宋体"/>
                <w:spacing w:val="-4"/>
                <w:sz w:val="24"/>
                <w:szCs w:val="24"/>
              </w:rPr>
              <w:t>一本招生的多科性教学研究型大学，是湖北</w:t>
            </w:r>
            <w:r>
              <w:rPr>
                <w:rFonts w:hint="eastAsia" w:ascii="宋体" w:hAnsi="宋体" w:eastAsia="宋体" w:cs="宋体"/>
                <w:spacing w:val="-2"/>
                <w:sz w:val="24"/>
                <w:szCs w:val="24"/>
              </w:rPr>
              <w:t>省重点建设高校、湖北省“一流学科”建设高</w:t>
            </w:r>
            <w:r>
              <w:rPr>
                <w:rFonts w:hint="eastAsia" w:ascii="宋体" w:hAnsi="宋体" w:eastAsia="宋体" w:cs="宋体"/>
                <w:spacing w:val="-3"/>
                <w:sz w:val="24"/>
                <w:szCs w:val="24"/>
              </w:rPr>
              <w:t>校，可以为项目提供必要的硬件支持。学校占地面积</w:t>
            </w:r>
            <w:r>
              <w:rPr>
                <w:rFonts w:hint="eastAsia" w:ascii="宋体" w:hAnsi="宋体" w:eastAsia="宋体" w:cs="宋体"/>
                <w:spacing w:val="-50"/>
                <w:sz w:val="24"/>
                <w:szCs w:val="24"/>
              </w:rPr>
              <w:t xml:space="preserve"> </w:t>
            </w:r>
            <w:r>
              <w:rPr>
                <w:rFonts w:hint="eastAsia" w:ascii="宋体" w:hAnsi="宋体" w:eastAsia="宋体" w:cs="宋体"/>
                <w:spacing w:val="-3"/>
                <w:sz w:val="24"/>
                <w:szCs w:val="24"/>
              </w:rPr>
              <w:t>9.5万平方公里，固定资产</w:t>
            </w:r>
            <w:r>
              <w:rPr>
                <w:rFonts w:hint="eastAsia" w:ascii="宋体" w:hAnsi="宋体" w:eastAsia="宋体" w:cs="宋体"/>
                <w:spacing w:val="-54"/>
                <w:sz w:val="24"/>
                <w:szCs w:val="24"/>
              </w:rPr>
              <w:t xml:space="preserve"> </w:t>
            </w:r>
            <w:r>
              <w:rPr>
                <w:rFonts w:hint="eastAsia" w:ascii="宋体" w:hAnsi="宋体" w:eastAsia="宋体" w:cs="宋体"/>
                <w:spacing w:val="-3"/>
                <w:sz w:val="24"/>
                <w:szCs w:val="24"/>
              </w:rPr>
              <w:t>20.7 亿元，图书馆馆藏图书达</w:t>
            </w:r>
            <w:r>
              <w:rPr>
                <w:rFonts w:hint="eastAsia" w:ascii="宋体" w:hAnsi="宋体" w:eastAsia="宋体" w:cs="宋体"/>
                <w:spacing w:val="-50"/>
                <w:sz w:val="24"/>
                <w:szCs w:val="24"/>
              </w:rPr>
              <w:t xml:space="preserve"> </w:t>
            </w:r>
            <w:r>
              <w:rPr>
                <w:rFonts w:hint="eastAsia" w:ascii="宋体" w:hAnsi="宋体" w:eastAsia="宋体" w:cs="宋体"/>
                <w:spacing w:val="-3"/>
                <w:sz w:val="24"/>
                <w:szCs w:val="24"/>
              </w:rPr>
              <w:t>306余万册，并开</w:t>
            </w:r>
            <w:r>
              <w:rPr>
                <w:rFonts w:hint="eastAsia" w:ascii="宋体" w:hAnsi="宋体" w:eastAsia="宋体" w:cs="宋体"/>
                <w:spacing w:val="-4"/>
                <w:sz w:val="24"/>
                <w:szCs w:val="24"/>
              </w:rPr>
              <w:t>通涵盖经</w:t>
            </w:r>
            <w:r>
              <w:rPr>
                <w:rFonts w:hint="eastAsia" w:ascii="宋体" w:hAnsi="宋体" w:eastAsia="宋体" w:cs="宋体"/>
                <w:sz w:val="24"/>
                <w:szCs w:val="24"/>
              </w:rPr>
              <w:t xml:space="preserve"> </w:t>
            </w:r>
            <w:r>
              <w:rPr>
                <w:rFonts w:hint="eastAsia" w:ascii="宋体" w:hAnsi="宋体" w:eastAsia="宋体" w:cs="宋体"/>
                <w:spacing w:val="-3"/>
                <w:sz w:val="24"/>
                <w:szCs w:val="24"/>
              </w:rPr>
              <w:t>济管理学科在内的各类中外文数据库</w:t>
            </w:r>
            <w:r>
              <w:rPr>
                <w:rFonts w:hint="eastAsia" w:ascii="宋体" w:hAnsi="宋体" w:eastAsia="宋体" w:cs="宋体"/>
                <w:spacing w:val="-32"/>
                <w:sz w:val="24"/>
                <w:szCs w:val="24"/>
              </w:rPr>
              <w:t xml:space="preserve"> </w:t>
            </w:r>
            <w:r>
              <w:rPr>
                <w:rFonts w:hint="eastAsia" w:ascii="宋体" w:hAnsi="宋体" w:eastAsia="宋体" w:cs="宋体"/>
                <w:spacing w:val="-3"/>
                <w:sz w:val="24"/>
                <w:szCs w:val="24"/>
              </w:rPr>
              <w:t>148个，为项目开展配备了便捷充裕的基础设</w:t>
            </w:r>
            <w:r>
              <w:rPr>
                <w:rFonts w:hint="eastAsia" w:ascii="宋体" w:hAnsi="宋体" w:eastAsia="宋体" w:cs="宋体"/>
                <w:spacing w:val="-4"/>
                <w:sz w:val="24"/>
                <w:szCs w:val="24"/>
              </w:rPr>
              <w:t>施、办公</w:t>
            </w:r>
            <w:r>
              <w:rPr>
                <w:rFonts w:hint="eastAsia" w:ascii="宋体" w:hAnsi="宋体" w:eastAsia="宋体" w:cs="宋体"/>
                <w:spacing w:val="-3"/>
                <w:sz w:val="24"/>
                <w:szCs w:val="24"/>
              </w:rPr>
              <w:t>环境和图书数据资源</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rPr>
              <w:t>法学一级学科为湖北省重点学科</w:t>
            </w:r>
            <w:r>
              <w:rPr>
                <w:rFonts w:hint="eastAsia" w:cs="宋体"/>
                <w:spacing w:val="-3"/>
                <w:sz w:val="24"/>
                <w:szCs w:val="24"/>
                <w:lang w:eastAsia="zh-CN"/>
              </w:rPr>
              <w:t>。</w:t>
            </w:r>
          </w:p>
          <w:p w14:paraId="0EB81D4C">
            <w:pPr>
              <w:ind w:right="71" w:firstLine="468" w:firstLineChars="200"/>
              <w:jc w:val="left"/>
              <w:rPr>
                <w:rFonts w:hint="eastAsia" w:ascii="宋体" w:hAnsi="宋体" w:eastAsia="宋体" w:cs="宋体"/>
                <w:sz w:val="24"/>
                <w:szCs w:val="24"/>
              </w:rPr>
            </w:pPr>
            <w:r>
              <w:rPr>
                <w:rFonts w:hint="eastAsia" w:ascii="宋体" w:hAnsi="宋体" w:eastAsia="宋体" w:cs="宋体"/>
                <w:spacing w:val="-3"/>
                <w:sz w:val="24"/>
                <w:szCs w:val="24"/>
              </w:rPr>
              <w:t>申请人所在二级单位法商学院（知识产权学院）</w:t>
            </w:r>
            <w:r>
              <w:rPr>
                <w:rFonts w:hint="eastAsia" w:ascii="宋体" w:hAnsi="宋体" w:eastAsia="宋体" w:cs="宋体"/>
                <w:spacing w:val="-4"/>
                <w:sz w:val="24"/>
                <w:szCs w:val="24"/>
              </w:rPr>
              <w:t>通过经济学与法学的交叉融合，在以专</w:t>
            </w:r>
            <w:r>
              <w:rPr>
                <w:rFonts w:hint="eastAsia" w:ascii="宋体" w:hAnsi="宋体" w:eastAsia="宋体" w:cs="宋体"/>
                <w:sz w:val="24"/>
                <w:szCs w:val="24"/>
              </w:rPr>
              <w:t xml:space="preserve"> </w:t>
            </w:r>
            <w:r>
              <w:rPr>
                <w:rFonts w:hint="eastAsia" w:ascii="宋体" w:hAnsi="宋体" w:eastAsia="宋体" w:cs="宋体"/>
                <w:spacing w:val="-1"/>
                <w:sz w:val="24"/>
                <w:szCs w:val="24"/>
              </w:rPr>
              <w:t>利和地理标志为核心的知识产权领域积淀深厚</w:t>
            </w:r>
            <w:r>
              <w:rPr>
                <w:rFonts w:hint="eastAsia" w:ascii="宋体" w:hAnsi="宋体" w:cs="宋体"/>
                <w:spacing w:val="-1"/>
                <w:sz w:val="24"/>
                <w:szCs w:val="24"/>
                <w:lang w:eastAsia="zh-CN"/>
              </w:rPr>
              <w:t>，</w:t>
            </w:r>
            <w:r>
              <w:rPr>
                <w:rFonts w:hint="eastAsia" w:ascii="宋体" w:hAnsi="宋体" w:eastAsia="宋体" w:cs="宋体"/>
                <w:spacing w:val="-1"/>
                <w:sz w:val="24"/>
                <w:szCs w:val="24"/>
              </w:rPr>
              <w:t>为项目开展提供了较好的研究平台。法学、</w:t>
            </w:r>
            <w:r>
              <w:rPr>
                <w:rFonts w:hint="eastAsia" w:ascii="宋体" w:hAnsi="宋体" w:eastAsia="宋体" w:cs="宋体"/>
                <w:spacing w:val="-3"/>
                <w:sz w:val="24"/>
                <w:szCs w:val="24"/>
              </w:rPr>
              <w:t>知识产权专职教师</w:t>
            </w:r>
            <w:r>
              <w:rPr>
                <w:rFonts w:hint="eastAsia" w:ascii="宋体" w:hAnsi="宋体" w:eastAsia="宋体" w:cs="宋体"/>
                <w:spacing w:val="-37"/>
                <w:sz w:val="24"/>
                <w:szCs w:val="24"/>
              </w:rPr>
              <w:t xml:space="preserve"> </w:t>
            </w:r>
            <w:r>
              <w:rPr>
                <w:rFonts w:hint="eastAsia" w:ascii="宋体" w:hAnsi="宋体" w:eastAsia="宋体" w:cs="宋体"/>
                <w:spacing w:val="-3"/>
                <w:sz w:val="24"/>
                <w:szCs w:val="24"/>
              </w:rPr>
              <w:t>32</w:t>
            </w:r>
            <w:r>
              <w:rPr>
                <w:rFonts w:hint="eastAsia" w:ascii="宋体" w:hAnsi="宋体" w:eastAsia="宋体" w:cs="宋体"/>
                <w:spacing w:val="14"/>
                <w:sz w:val="24"/>
                <w:szCs w:val="24"/>
              </w:rPr>
              <w:t xml:space="preserve"> </w:t>
            </w:r>
            <w:r>
              <w:rPr>
                <w:rFonts w:hint="eastAsia" w:ascii="宋体" w:hAnsi="宋体" w:eastAsia="宋体" w:cs="宋体"/>
                <w:spacing w:val="-3"/>
                <w:sz w:val="24"/>
                <w:szCs w:val="24"/>
              </w:rPr>
              <w:t>名，其中教授</w:t>
            </w:r>
            <w:r>
              <w:rPr>
                <w:rFonts w:hint="eastAsia" w:ascii="宋体" w:hAnsi="宋体" w:eastAsia="宋体" w:cs="宋体"/>
                <w:spacing w:val="-43"/>
                <w:sz w:val="24"/>
                <w:szCs w:val="24"/>
              </w:rPr>
              <w:t xml:space="preserve"> </w:t>
            </w:r>
            <w:r>
              <w:rPr>
                <w:rFonts w:hint="eastAsia" w:ascii="宋体" w:hAnsi="宋体" w:eastAsia="宋体" w:cs="宋体"/>
                <w:spacing w:val="-3"/>
                <w:sz w:val="24"/>
                <w:szCs w:val="24"/>
              </w:rPr>
              <w:t>5名，副教授</w:t>
            </w:r>
            <w:r>
              <w:rPr>
                <w:rFonts w:hint="eastAsia" w:ascii="宋体" w:hAnsi="宋体" w:eastAsia="宋体" w:cs="宋体"/>
                <w:spacing w:val="-27"/>
                <w:sz w:val="24"/>
                <w:szCs w:val="24"/>
              </w:rPr>
              <w:t xml:space="preserve"> </w:t>
            </w:r>
            <w:r>
              <w:rPr>
                <w:rFonts w:hint="eastAsia" w:ascii="宋体" w:hAnsi="宋体" w:eastAsia="宋体" w:cs="宋体"/>
                <w:spacing w:val="-3"/>
                <w:sz w:val="24"/>
                <w:szCs w:val="24"/>
              </w:rPr>
              <w:t>12</w:t>
            </w:r>
            <w:r>
              <w:rPr>
                <w:rFonts w:hint="eastAsia" w:ascii="宋体" w:hAnsi="宋体" w:eastAsia="宋体" w:cs="宋体"/>
                <w:spacing w:val="17"/>
                <w:sz w:val="24"/>
                <w:szCs w:val="24"/>
              </w:rPr>
              <w:t xml:space="preserve"> </w:t>
            </w:r>
            <w:r>
              <w:rPr>
                <w:rFonts w:hint="eastAsia" w:ascii="宋体" w:hAnsi="宋体" w:eastAsia="宋体" w:cs="宋体"/>
                <w:spacing w:val="-3"/>
                <w:sz w:val="24"/>
                <w:szCs w:val="24"/>
              </w:rPr>
              <w:t>名，博士</w:t>
            </w:r>
            <w:r>
              <w:rPr>
                <w:rFonts w:hint="eastAsia" w:ascii="宋体" w:hAnsi="宋体" w:eastAsia="宋体" w:cs="宋体"/>
                <w:spacing w:val="-50"/>
                <w:sz w:val="24"/>
                <w:szCs w:val="24"/>
              </w:rPr>
              <w:t xml:space="preserve"> </w:t>
            </w:r>
            <w:r>
              <w:rPr>
                <w:rFonts w:hint="eastAsia" w:ascii="宋体" w:hAnsi="宋体" w:eastAsia="宋体" w:cs="宋体"/>
                <w:spacing w:val="-3"/>
                <w:sz w:val="24"/>
                <w:szCs w:val="24"/>
              </w:rPr>
              <w:t>22</w:t>
            </w:r>
            <w:r>
              <w:rPr>
                <w:rFonts w:hint="eastAsia" w:ascii="宋体" w:hAnsi="宋体" w:eastAsia="宋体" w:cs="宋体"/>
                <w:spacing w:val="17"/>
                <w:sz w:val="24"/>
                <w:szCs w:val="24"/>
              </w:rPr>
              <w:t xml:space="preserve"> </w:t>
            </w:r>
            <w:r>
              <w:rPr>
                <w:rFonts w:hint="eastAsia" w:ascii="宋体" w:hAnsi="宋体" w:eastAsia="宋体" w:cs="宋体"/>
                <w:spacing w:val="-3"/>
                <w:sz w:val="24"/>
                <w:szCs w:val="24"/>
              </w:rPr>
              <w:t>名。全国专利信息领军人</w:t>
            </w:r>
            <w:r>
              <w:rPr>
                <w:rFonts w:hint="eastAsia" w:ascii="宋体" w:hAnsi="宋体" w:eastAsia="宋体" w:cs="宋体"/>
                <w:sz w:val="24"/>
                <w:szCs w:val="24"/>
              </w:rPr>
              <w:t xml:space="preserve"> </w:t>
            </w:r>
            <w:r>
              <w:rPr>
                <w:rFonts w:hint="eastAsia" w:ascii="宋体" w:hAnsi="宋体" w:eastAsia="宋体" w:cs="宋体"/>
                <w:spacing w:val="-2"/>
                <w:sz w:val="24"/>
                <w:szCs w:val="24"/>
              </w:rPr>
              <w:t>才、全国知识产权百千万人才百名高层次人才、首批国家知识产权局专利分析和</w:t>
            </w:r>
            <w:r>
              <w:rPr>
                <w:rFonts w:hint="eastAsia" w:ascii="宋体" w:hAnsi="宋体" w:eastAsia="宋体" w:cs="宋体"/>
                <w:spacing w:val="-3"/>
                <w:sz w:val="24"/>
                <w:szCs w:val="24"/>
              </w:rPr>
              <w:t>预警专家库</w:t>
            </w:r>
            <w:r>
              <w:rPr>
                <w:rFonts w:hint="eastAsia" w:ascii="宋体" w:hAnsi="宋体" w:eastAsia="宋体" w:cs="宋体"/>
                <w:sz w:val="24"/>
                <w:szCs w:val="24"/>
              </w:rPr>
              <w:t xml:space="preserve"> </w:t>
            </w:r>
            <w:r>
              <w:rPr>
                <w:rFonts w:hint="eastAsia" w:ascii="宋体" w:hAnsi="宋体" w:eastAsia="宋体" w:cs="宋体"/>
                <w:spacing w:val="-3"/>
                <w:sz w:val="24"/>
                <w:szCs w:val="24"/>
              </w:rPr>
              <w:t>专家</w:t>
            </w:r>
            <w:r>
              <w:rPr>
                <w:rFonts w:hint="eastAsia" w:ascii="宋体" w:hAnsi="宋体" w:eastAsia="宋体" w:cs="宋体"/>
                <w:spacing w:val="-32"/>
                <w:sz w:val="24"/>
                <w:szCs w:val="24"/>
              </w:rPr>
              <w:t xml:space="preserve"> </w:t>
            </w:r>
            <w:r>
              <w:rPr>
                <w:rFonts w:hint="eastAsia" w:ascii="宋体" w:hAnsi="宋体" w:eastAsia="宋体" w:cs="宋体"/>
                <w:spacing w:val="-3"/>
                <w:sz w:val="24"/>
                <w:szCs w:val="24"/>
              </w:rPr>
              <w:t>1 名，湖北省新世纪高层次人才工程人选</w:t>
            </w:r>
            <w:r>
              <w:rPr>
                <w:rFonts w:hint="eastAsia" w:ascii="宋体" w:hAnsi="宋体" w:eastAsia="宋体" w:cs="宋体"/>
                <w:spacing w:val="-54"/>
                <w:sz w:val="24"/>
                <w:szCs w:val="24"/>
              </w:rPr>
              <w:t xml:space="preserve"> </w:t>
            </w:r>
            <w:r>
              <w:rPr>
                <w:rFonts w:hint="eastAsia" w:ascii="宋体" w:hAnsi="宋体" w:eastAsia="宋体" w:cs="宋体"/>
                <w:spacing w:val="-3"/>
                <w:sz w:val="24"/>
                <w:szCs w:val="24"/>
              </w:rPr>
              <w:t>2 名，享受湖北省</w:t>
            </w:r>
            <w:r>
              <w:rPr>
                <w:rFonts w:hint="eastAsia" w:ascii="宋体" w:hAnsi="宋体" w:eastAsia="宋体" w:cs="宋体"/>
                <w:spacing w:val="-4"/>
                <w:sz w:val="24"/>
                <w:szCs w:val="24"/>
              </w:rPr>
              <w:t>政府津贴人员</w:t>
            </w:r>
            <w:r>
              <w:rPr>
                <w:rFonts w:hint="eastAsia" w:ascii="宋体" w:hAnsi="宋体" w:eastAsia="宋体" w:cs="宋体"/>
                <w:spacing w:val="-31"/>
                <w:sz w:val="24"/>
                <w:szCs w:val="24"/>
              </w:rPr>
              <w:t xml:space="preserve"> </w:t>
            </w:r>
            <w:r>
              <w:rPr>
                <w:rFonts w:hint="eastAsia" w:ascii="宋体" w:hAnsi="宋体" w:eastAsia="宋体" w:cs="宋体"/>
                <w:spacing w:val="-4"/>
                <w:sz w:val="24"/>
                <w:szCs w:val="24"/>
              </w:rPr>
              <w:t>1 名。武汉市</w:t>
            </w:r>
            <w:r>
              <w:rPr>
                <w:rFonts w:hint="eastAsia" w:ascii="宋体" w:hAnsi="宋体" w:eastAsia="宋体" w:cs="宋体"/>
                <w:sz w:val="24"/>
                <w:szCs w:val="24"/>
              </w:rPr>
              <w:t xml:space="preserve"> </w:t>
            </w:r>
            <w:r>
              <w:rPr>
                <w:rFonts w:hint="eastAsia" w:ascii="宋体" w:hAnsi="宋体" w:eastAsia="宋体" w:cs="宋体"/>
                <w:spacing w:val="-7"/>
                <w:sz w:val="24"/>
                <w:szCs w:val="24"/>
              </w:rPr>
              <w:t>“黄鹤英才”1 名，“湖北省十大优秀中青年法学家、法律专家”提名奖</w:t>
            </w:r>
            <w:r>
              <w:rPr>
                <w:rFonts w:hint="eastAsia" w:ascii="宋体" w:hAnsi="宋体" w:eastAsia="宋体" w:cs="宋体"/>
                <w:spacing w:val="-23"/>
                <w:sz w:val="24"/>
                <w:szCs w:val="24"/>
              </w:rPr>
              <w:t xml:space="preserve"> </w:t>
            </w:r>
            <w:r>
              <w:rPr>
                <w:rFonts w:hint="eastAsia" w:ascii="宋体" w:hAnsi="宋体" w:eastAsia="宋体" w:cs="宋体"/>
                <w:spacing w:val="-7"/>
                <w:sz w:val="24"/>
                <w:szCs w:val="24"/>
              </w:rPr>
              <w:t>1 人，武汉市法学法</w:t>
            </w:r>
            <w:r>
              <w:rPr>
                <w:rFonts w:hint="eastAsia" w:ascii="宋体" w:hAnsi="宋体" w:eastAsia="宋体" w:cs="宋体"/>
                <w:sz w:val="24"/>
                <w:szCs w:val="24"/>
              </w:rPr>
              <w:t xml:space="preserve"> </w:t>
            </w:r>
            <w:r>
              <w:rPr>
                <w:rFonts w:hint="eastAsia" w:ascii="宋体" w:hAnsi="宋体" w:eastAsia="宋体" w:cs="宋体"/>
                <w:spacing w:val="-4"/>
                <w:sz w:val="24"/>
                <w:szCs w:val="24"/>
              </w:rPr>
              <w:t>律人才库专家</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3</w:t>
            </w:r>
            <w:r>
              <w:rPr>
                <w:rFonts w:hint="eastAsia" w:ascii="宋体" w:hAnsi="宋体" w:eastAsia="宋体" w:cs="宋体"/>
                <w:spacing w:val="16"/>
                <w:w w:val="101"/>
                <w:sz w:val="24"/>
                <w:szCs w:val="24"/>
              </w:rPr>
              <w:t xml:space="preserve"> </w:t>
            </w:r>
            <w:r>
              <w:rPr>
                <w:rFonts w:hint="eastAsia" w:ascii="宋体" w:hAnsi="宋体" w:eastAsia="宋体" w:cs="宋体"/>
                <w:spacing w:val="-4"/>
                <w:sz w:val="24"/>
                <w:szCs w:val="24"/>
              </w:rPr>
              <w:t>人，湖北省法学法律专家</w:t>
            </w:r>
            <w:r>
              <w:rPr>
                <w:rFonts w:hint="eastAsia" w:ascii="宋体" w:hAnsi="宋体" w:eastAsia="宋体" w:cs="宋体"/>
                <w:spacing w:val="-27"/>
                <w:sz w:val="24"/>
                <w:szCs w:val="24"/>
              </w:rPr>
              <w:t xml:space="preserve"> </w:t>
            </w:r>
            <w:r>
              <w:rPr>
                <w:rFonts w:hint="eastAsia" w:ascii="宋体" w:hAnsi="宋体" w:eastAsia="宋体" w:cs="宋体"/>
                <w:spacing w:val="-4"/>
                <w:sz w:val="24"/>
                <w:szCs w:val="24"/>
              </w:rPr>
              <w:t>1名，湖北省法学法律人才 1名。有</w:t>
            </w:r>
            <w:r>
              <w:rPr>
                <w:rFonts w:hint="eastAsia" w:ascii="宋体" w:hAnsi="宋体" w:eastAsia="宋体" w:cs="宋体"/>
                <w:spacing w:val="-45"/>
                <w:sz w:val="24"/>
                <w:szCs w:val="24"/>
              </w:rPr>
              <w:t xml:space="preserve"> </w:t>
            </w:r>
            <w:r>
              <w:rPr>
                <w:rFonts w:hint="eastAsia" w:ascii="宋体" w:hAnsi="宋体" w:eastAsia="宋体" w:cs="宋体"/>
                <w:spacing w:val="-4"/>
                <w:sz w:val="24"/>
                <w:szCs w:val="24"/>
              </w:rPr>
              <w:t>30人次教师</w:t>
            </w:r>
            <w:r>
              <w:rPr>
                <w:rFonts w:hint="eastAsia" w:ascii="宋体" w:hAnsi="宋体" w:eastAsia="宋体" w:cs="宋体"/>
                <w:spacing w:val="-1"/>
                <w:sz w:val="24"/>
                <w:szCs w:val="24"/>
              </w:rPr>
              <w:t>在中国行为法学会、湖北省法学会、湖北省知识产权研究会等十余个学术组织中担任理事、</w:t>
            </w:r>
            <w:r>
              <w:rPr>
                <w:rFonts w:hint="eastAsia" w:ascii="宋体" w:hAnsi="宋体" w:eastAsia="宋体" w:cs="宋体"/>
                <w:spacing w:val="11"/>
                <w:sz w:val="24"/>
                <w:szCs w:val="24"/>
              </w:rPr>
              <w:t xml:space="preserve"> </w:t>
            </w:r>
            <w:r>
              <w:rPr>
                <w:rFonts w:hint="eastAsia" w:ascii="宋体" w:hAnsi="宋体" w:eastAsia="宋体" w:cs="宋体"/>
                <w:spacing w:val="-2"/>
                <w:sz w:val="24"/>
                <w:szCs w:val="24"/>
              </w:rPr>
              <w:t>常务理事、副会长、执行会长等职务。学院拥有</w:t>
            </w:r>
            <w:r>
              <w:rPr>
                <w:rFonts w:hint="eastAsia" w:ascii="宋体" w:hAnsi="宋体" w:eastAsia="宋体" w:cs="宋体"/>
                <w:spacing w:val="-49"/>
                <w:sz w:val="24"/>
                <w:szCs w:val="24"/>
              </w:rPr>
              <w:t xml:space="preserve"> </w:t>
            </w:r>
            <w:r>
              <w:rPr>
                <w:rFonts w:hint="eastAsia" w:ascii="宋体" w:hAnsi="宋体" w:eastAsia="宋体" w:cs="宋体"/>
                <w:spacing w:val="-2"/>
                <w:sz w:val="24"/>
                <w:szCs w:val="24"/>
              </w:rPr>
              <w:t>3 个湖北省高等学</w:t>
            </w:r>
            <w:r>
              <w:rPr>
                <w:rFonts w:hint="eastAsia" w:ascii="宋体" w:hAnsi="宋体" w:eastAsia="宋体" w:cs="宋体"/>
                <w:spacing w:val="-3"/>
                <w:sz w:val="24"/>
                <w:szCs w:val="24"/>
              </w:rPr>
              <w:t>校人文社会科学研究基地</w:t>
            </w:r>
            <w:r>
              <w:rPr>
                <w:rFonts w:hint="eastAsia" w:ascii="宋体" w:hAnsi="宋体" w:eastAsia="宋体" w:cs="宋体"/>
                <w:sz w:val="24"/>
                <w:szCs w:val="24"/>
              </w:rPr>
              <w:t xml:space="preserve"> </w:t>
            </w:r>
            <w:r>
              <w:rPr>
                <w:rFonts w:hint="eastAsia" w:ascii="宋体" w:hAnsi="宋体" w:eastAsia="宋体" w:cs="宋体"/>
                <w:spacing w:val="-8"/>
                <w:sz w:val="24"/>
                <w:szCs w:val="24"/>
              </w:rPr>
              <w:t>“湖北知识产权战略实施协作基地”“湖北省知识产权与技术转移中心”“湖北省商标品牌与</w:t>
            </w:r>
            <w:r>
              <w:rPr>
                <w:rFonts w:hint="eastAsia" w:ascii="宋体" w:hAnsi="宋体" w:eastAsia="宋体" w:cs="宋体"/>
                <w:spacing w:val="-2"/>
                <w:sz w:val="24"/>
                <w:szCs w:val="24"/>
              </w:rPr>
              <w:t>地理标志研究院”。研究设施齐全。全国专利信息领军人才、全国知</w:t>
            </w:r>
            <w:r>
              <w:rPr>
                <w:rFonts w:hint="eastAsia" w:ascii="宋体" w:hAnsi="宋体" w:eastAsia="宋体" w:cs="宋体"/>
                <w:spacing w:val="-3"/>
                <w:sz w:val="24"/>
                <w:szCs w:val="24"/>
              </w:rPr>
              <w:t>识产权百千万人才百名</w:t>
            </w:r>
            <w:r>
              <w:rPr>
                <w:rFonts w:hint="eastAsia" w:ascii="宋体" w:hAnsi="宋体" w:eastAsia="宋体" w:cs="宋体"/>
                <w:spacing w:val="-2"/>
                <w:sz w:val="24"/>
                <w:szCs w:val="24"/>
              </w:rPr>
              <w:t>高层次人才、学院院长金明浩教授作为校内首席专家，将提供知识产权领域指导。项</w:t>
            </w:r>
            <w:r>
              <w:rPr>
                <w:rFonts w:hint="eastAsia" w:ascii="宋体" w:hAnsi="宋体" w:eastAsia="宋体" w:cs="宋体"/>
                <w:spacing w:val="-3"/>
                <w:sz w:val="24"/>
                <w:szCs w:val="24"/>
              </w:rPr>
              <w:t>目获批</w:t>
            </w:r>
            <w:r>
              <w:rPr>
                <w:rFonts w:hint="eastAsia" w:ascii="宋体" w:hAnsi="宋体" w:eastAsia="宋体" w:cs="宋体"/>
                <w:spacing w:val="-1"/>
                <w:sz w:val="24"/>
                <w:szCs w:val="24"/>
              </w:rPr>
              <w:t>后，学院可以为项目高质量开展提供完善的平台支撑与软件支持。</w:t>
            </w:r>
          </w:p>
          <w:p w14:paraId="359A4465">
            <w:pPr>
              <w:ind w:right="71"/>
              <w:jc w:val="left"/>
              <w:rPr>
                <w:rFonts w:ascii="宋体" w:hAnsi="宋体"/>
                <w:sz w:val="24"/>
                <w:szCs w:val="24"/>
              </w:rPr>
            </w:pPr>
          </w:p>
          <w:p w14:paraId="038DB6F2">
            <w:pPr>
              <w:ind w:right="71"/>
              <w:jc w:val="left"/>
              <w:rPr>
                <w:rFonts w:ascii="宋体" w:hAnsi="宋体"/>
                <w:sz w:val="24"/>
                <w:szCs w:val="24"/>
              </w:rPr>
            </w:pPr>
          </w:p>
          <w:p w14:paraId="17038D17">
            <w:pPr>
              <w:ind w:right="71"/>
              <w:jc w:val="left"/>
              <w:rPr>
                <w:rFonts w:ascii="宋体" w:hAnsi="宋体"/>
                <w:sz w:val="24"/>
                <w:szCs w:val="24"/>
              </w:rPr>
            </w:pPr>
          </w:p>
          <w:p w14:paraId="79883D59">
            <w:pPr>
              <w:ind w:right="71"/>
              <w:jc w:val="left"/>
              <w:rPr>
                <w:rFonts w:ascii="宋体" w:hAnsi="宋体"/>
                <w:sz w:val="24"/>
                <w:szCs w:val="24"/>
              </w:rPr>
            </w:pPr>
          </w:p>
          <w:p w14:paraId="5A3587EB">
            <w:pPr>
              <w:ind w:right="71"/>
              <w:jc w:val="left"/>
              <w:rPr>
                <w:rFonts w:ascii="宋体" w:hAnsi="宋体"/>
                <w:sz w:val="24"/>
                <w:szCs w:val="24"/>
              </w:rPr>
            </w:pPr>
          </w:p>
          <w:p w14:paraId="1D754645">
            <w:pPr>
              <w:ind w:right="71"/>
              <w:jc w:val="left"/>
              <w:rPr>
                <w:rFonts w:ascii="宋体" w:hAnsi="宋体"/>
                <w:sz w:val="24"/>
                <w:szCs w:val="24"/>
              </w:rPr>
            </w:pPr>
          </w:p>
          <w:p w14:paraId="147C3679">
            <w:pPr>
              <w:ind w:right="71"/>
              <w:jc w:val="left"/>
              <w:rPr>
                <w:rFonts w:ascii="宋体" w:hAnsi="宋体"/>
                <w:sz w:val="24"/>
                <w:szCs w:val="24"/>
              </w:rPr>
            </w:pPr>
          </w:p>
          <w:p w14:paraId="12DFB161">
            <w:pPr>
              <w:ind w:right="71"/>
              <w:jc w:val="left"/>
              <w:rPr>
                <w:rFonts w:ascii="宋体" w:hAnsi="宋体"/>
                <w:sz w:val="24"/>
                <w:szCs w:val="24"/>
              </w:rPr>
            </w:pPr>
          </w:p>
          <w:p w14:paraId="34E6D531">
            <w:pPr>
              <w:ind w:right="71"/>
              <w:jc w:val="left"/>
              <w:rPr>
                <w:rFonts w:ascii="宋体" w:hAnsi="宋体"/>
                <w:sz w:val="24"/>
                <w:szCs w:val="24"/>
              </w:rPr>
            </w:pPr>
          </w:p>
        </w:tc>
      </w:tr>
    </w:tbl>
    <w:p w14:paraId="12944D0B">
      <w:pPr>
        <w:widowControl/>
        <w:jc w:val="left"/>
        <w:rPr>
          <w:rFonts w:eastAsia="黑体"/>
          <w:sz w:val="30"/>
        </w:rPr>
      </w:pPr>
      <w:r>
        <w:rPr>
          <w:rFonts w:eastAsia="黑体"/>
          <w:sz w:val="30"/>
        </w:rPr>
        <w:br w:type="page"/>
      </w:r>
    </w:p>
    <w:p w14:paraId="52DCEB6A">
      <w:pPr>
        <w:widowControl/>
        <w:jc w:val="left"/>
        <w:rPr>
          <w:rFonts w:hint="eastAsia" w:eastAsia="宋体"/>
          <w:lang w:eastAsia="zh-CN"/>
        </w:rPr>
      </w:pPr>
      <w:bookmarkStart w:id="0" w:name="_GoBack"/>
      <w:bookmarkEnd w:id="0"/>
      <w:r>
        <w:rPr>
          <w:rFonts w:hint="eastAsia" w:eastAsia="宋体"/>
          <w:lang w:eastAsia="zh-CN"/>
        </w:rPr>
        <w:drawing>
          <wp:anchor distT="0" distB="0" distL="114935" distR="114935" simplePos="0" relativeHeight="251659264" behindDoc="0" locked="0" layoutInCell="1" allowOverlap="1">
            <wp:simplePos x="0" y="0"/>
            <wp:positionH relativeFrom="column">
              <wp:posOffset>0</wp:posOffset>
            </wp:positionH>
            <wp:positionV relativeFrom="paragraph">
              <wp:posOffset>63500</wp:posOffset>
            </wp:positionV>
            <wp:extent cx="5486400" cy="7715250"/>
            <wp:effectExtent l="0" t="0" r="0" b="6350"/>
            <wp:wrapSquare wrapText="bothSides"/>
            <wp:docPr id="8" name="图片 8" descr="微信图片_20250519161925"/>
            <wp:cNvGraphicFramePr/>
            <a:graphic xmlns:a="http://schemas.openxmlformats.org/drawingml/2006/main">
              <a:graphicData uri="http://schemas.openxmlformats.org/drawingml/2006/picture">
                <pic:pic xmlns:pic="http://schemas.openxmlformats.org/drawingml/2006/picture">
                  <pic:nvPicPr>
                    <pic:cNvPr id="8" name="图片 8" descr="微信图片_20250519161925"/>
                    <pic:cNvPicPr preferRelativeResize="0"/>
                  </pic:nvPicPr>
                  <pic:blipFill>
                    <a:blip r:embed="rId14"/>
                    <a:stretch>
                      <a:fillRect/>
                    </a:stretch>
                  </pic:blipFill>
                  <pic:spPr>
                    <a:xfrm>
                      <a:off x="0" y="0"/>
                      <a:ext cx="5486400" cy="7715250"/>
                    </a:xfrm>
                    <a:prstGeom prst="rect">
                      <a:avLst/>
                    </a:prstGeom>
                  </pic:spPr>
                </pic:pic>
              </a:graphicData>
            </a:graphic>
            <wp14:sizeRelH relativeFrom="page">
              <wp14:pctWidth>100000</wp14:pctWidth>
            </wp14:sizeRelH>
            <wp14:sizeRelV relativeFrom="page">
              <wp14:pctHeight>100000</wp14:pctHeight>
            </wp14:sizeRelV>
          </wp:anchor>
        </w:drawing>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E7CF55"/>
    <w:multiLevelType w:val="singleLevel"/>
    <w:tmpl w:val="AAE7CF55"/>
    <w:lvl w:ilvl="0" w:tentative="0">
      <w:start w:val="2"/>
      <w:numFmt w:val="decimal"/>
      <w:suff w:val="nothing"/>
      <w:lvlText w:val="%1．"/>
      <w:lvlJc w:val="left"/>
    </w:lvl>
  </w:abstractNum>
  <w:abstractNum w:abstractNumId="1">
    <w:nsid w:val="0A9EE065"/>
    <w:multiLevelType w:val="singleLevel"/>
    <w:tmpl w:val="0A9EE065"/>
    <w:lvl w:ilvl="0" w:tentative="0">
      <w:start w:val="1"/>
      <w:numFmt w:val="decimalEnclosedCircleChinese"/>
      <w:suff w:val="nothing"/>
      <w:lvlText w:val="%1　"/>
      <w:lvlJc w:val="left"/>
      <w:pPr>
        <w:ind w:left="0" w:firstLine="400"/>
      </w:pPr>
      <w:rPr>
        <w:rFonts w:hint="eastAsia"/>
      </w:rPr>
    </w:lvl>
  </w:abstractNum>
  <w:abstractNum w:abstractNumId="2">
    <w:nsid w:val="2A5513CB"/>
    <w:multiLevelType w:val="singleLevel"/>
    <w:tmpl w:val="2A5513CB"/>
    <w:lvl w:ilvl="0" w:tentative="0">
      <w:start w:val="1"/>
      <w:numFmt w:val="decimalEnclosedCircleChinese"/>
      <w:suff w:val="nothing"/>
      <w:lvlText w:val="%1　"/>
      <w:lvlJc w:val="left"/>
      <w:pPr>
        <w:ind w:left="0" w:firstLine="400"/>
      </w:pPr>
      <w:rPr>
        <w:rFonts w:hint="eastAsia"/>
      </w:rPr>
    </w:lvl>
  </w:abstractNum>
  <w:abstractNum w:abstractNumId="3">
    <w:nsid w:val="49E3E2CE"/>
    <w:multiLevelType w:val="singleLevel"/>
    <w:tmpl w:val="49E3E2CE"/>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8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34F"/>
    <w:rsid w:val="000030BA"/>
    <w:rsid w:val="00004391"/>
    <w:rsid w:val="000045F2"/>
    <w:rsid w:val="0002644C"/>
    <w:rsid w:val="000D37A9"/>
    <w:rsid w:val="000D451C"/>
    <w:rsid w:val="000E0EB9"/>
    <w:rsid w:val="00113371"/>
    <w:rsid w:val="00134999"/>
    <w:rsid w:val="001A2A63"/>
    <w:rsid w:val="001C758F"/>
    <w:rsid w:val="00235706"/>
    <w:rsid w:val="00276DD7"/>
    <w:rsid w:val="0029738F"/>
    <w:rsid w:val="002A1981"/>
    <w:rsid w:val="002A5D3C"/>
    <w:rsid w:val="002B294B"/>
    <w:rsid w:val="002D5AE5"/>
    <w:rsid w:val="002E6591"/>
    <w:rsid w:val="003122AC"/>
    <w:rsid w:val="00381B75"/>
    <w:rsid w:val="00385C0B"/>
    <w:rsid w:val="003A4033"/>
    <w:rsid w:val="003B5974"/>
    <w:rsid w:val="003D2D27"/>
    <w:rsid w:val="003F381A"/>
    <w:rsid w:val="00403E7A"/>
    <w:rsid w:val="00423BAF"/>
    <w:rsid w:val="004342F8"/>
    <w:rsid w:val="00447F1D"/>
    <w:rsid w:val="004515F6"/>
    <w:rsid w:val="00457464"/>
    <w:rsid w:val="00473873"/>
    <w:rsid w:val="004E563B"/>
    <w:rsid w:val="00503622"/>
    <w:rsid w:val="00510858"/>
    <w:rsid w:val="00520FE6"/>
    <w:rsid w:val="0052557B"/>
    <w:rsid w:val="005D6C0A"/>
    <w:rsid w:val="005E2649"/>
    <w:rsid w:val="005F281C"/>
    <w:rsid w:val="006133DB"/>
    <w:rsid w:val="0062400E"/>
    <w:rsid w:val="00631FEE"/>
    <w:rsid w:val="0069042F"/>
    <w:rsid w:val="006A0BE2"/>
    <w:rsid w:val="006E1247"/>
    <w:rsid w:val="00702BAE"/>
    <w:rsid w:val="00707673"/>
    <w:rsid w:val="00714E57"/>
    <w:rsid w:val="00756182"/>
    <w:rsid w:val="00772B04"/>
    <w:rsid w:val="007849FA"/>
    <w:rsid w:val="007B2C85"/>
    <w:rsid w:val="007B5E86"/>
    <w:rsid w:val="008074D9"/>
    <w:rsid w:val="00812746"/>
    <w:rsid w:val="00894023"/>
    <w:rsid w:val="008D1438"/>
    <w:rsid w:val="008F645F"/>
    <w:rsid w:val="00946006"/>
    <w:rsid w:val="00971178"/>
    <w:rsid w:val="00981C50"/>
    <w:rsid w:val="00990023"/>
    <w:rsid w:val="009C4E3D"/>
    <w:rsid w:val="009C7398"/>
    <w:rsid w:val="009C755E"/>
    <w:rsid w:val="00A008FA"/>
    <w:rsid w:val="00A30C65"/>
    <w:rsid w:val="00A5370D"/>
    <w:rsid w:val="00A561F4"/>
    <w:rsid w:val="00A634EE"/>
    <w:rsid w:val="00AC77AE"/>
    <w:rsid w:val="00B17A81"/>
    <w:rsid w:val="00B31343"/>
    <w:rsid w:val="00B32D64"/>
    <w:rsid w:val="00B532B7"/>
    <w:rsid w:val="00B66F7F"/>
    <w:rsid w:val="00C210F6"/>
    <w:rsid w:val="00CC4AE0"/>
    <w:rsid w:val="00D00B14"/>
    <w:rsid w:val="00D04E5F"/>
    <w:rsid w:val="00D50166"/>
    <w:rsid w:val="00DD37B2"/>
    <w:rsid w:val="00EC24FF"/>
    <w:rsid w:val="00EC7CAE"/>
    <w:rsid w:val="00EC7EA5"/>
    <w:rsid w:val="00F2034F"/>
    <w:rsid w:val="00F37DF8"/>
    <w:rsid w:val="00F64B9C"/>
    <w:rsid w:val="00F6783A"/>
    <w:rsid w:val="00F75218"/>
    <w:rsid w:val="00F86BDD"/>
    <w:rsid w:val="00F97EEF"/>
    <w:rsid w:val="024F0F52"/>
    <w:rsid w:val="127B7726"/>
    <w:rsid w:val="20842CD8"/>
    <w:rsid w:val="2D3E233D"/>
    <w:rsid w:val="2F4C150C"/>
    <w:rsid w:val="30314840"/>
    <w:rsid w:val="3B20468F"/>
    <w:rsid w:val="4F790EF2"/>
    <w:rsid w:val="658B5737"/>
    <w:rsid w:val="682803A3"/>
    <w:rsid w:val="732454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footer"/>
    <w:basedOn w:val="1"/>
    <w:link w:val="14"/>
    <w:unhideWhenUsed/>
    <w:qFormat/>
    <w:uiPriority w:val="99"/>
    <w:pPr>
      <w:tabs>
        <w:tab w:val="center" w:pos="4153"/>
        <w:tab w:val="right" w:pos="8306"/>
      </w:tabs>
      <w:snapToGrid w:val="0"/>
    </w:pPr>
    <w:rPr>
      <w:sz w:val="20"/>
    </w:rPr>
  </w:style>
  <w:style w:type="paragraph" w:styleId="5">
    <w:name w:val="header"/>
    <w:basedOn w:val="1"/>
    <w:link w:val="13"/>
    <w:unhideWhenUsed/>
    <w:qFormat/>
    <w:uiPriority w:val="99"/>
    <w:pPr>
      <w:tabs>
        <w:tab w:val="center" w:pos="4153"/>
        <w:tab w:val="right" w:pos="8306"/>
      </w:tabs>
      <w:snapToGrid w:val="0"/>
    </w:pPr>
    <w:rPr>
      <w:sz w:val="20"/>
    </w:rPr>
  </w:style>
  <w:style w:type="paragraph" w:styleId="6">
    <w:name w:val="Normal (Web)"/>
    <w:basedOn w:val="1"/>
    <w:semiHidden/>
    <w:unhideWhenUsed/>
    <w:qFormat/>
    <w:uiPriority w:val="99"/>
    <w:rPr>
      <w:sz w:val="24"/>
    </w:rPr>
  </w:style>
  <w:style w:type="paragraph" w:styleId="7">
    <w:name w:val="annotation subject"/>
    <w:basedOn w:val="3"/>
    <w:next w:val="3"/>
    <w:link w:val="17"/>
    <w:semiHidden/>
    <w:unhideWhenUsed/>
    <w:qFormat/>
    <w:uiPriority w:val="99"/>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5"/>
    <w:qFormat/>
    <w:uiPriority w:val="99"/>
    <w:rPr>
      <w:rFonts w:ascii="Times New Roman" w:hAnsi="Times New Roman" w:eastAsia="宋体" w:cs="Times New Roman"/>
      <w:sz w:val="20"/>
      <w:szCs w:val="20"/>
      <w:lang w:eastAsia="zh-CN"/>
    </w:rPr>
  </w:style>
  <w:style w:type="character" w:customStyle="1" w:styleId="14">
    <w:name w:val="页脚 字符"/>
    <w:basedOn w:val="10"/>
    <w:link w:val="4"/>
    <w:qFormat/>
    <w:uiPriority w:val="99"/>
    <w:rPr>
      <w:rFonts w:ascii="Times New Roman" w:hAnsi="Times New Roman" w:eastAsia="宋体" w:cs="Times New Roman"/>
      <w:sz w:val="20"/>
      <w:szCs w:val="20"/>
      <w:lang w:eastAsia="zh-CN"/>
    </w:rPr>
  </w:style>
  <w:style w:type="paragraph" w:customStyle="1" w:styleId="15">
    <w:name w:val="Revision"/>
    <w:hidden/>
    <w:semiHidden/>
    <w:qFormat/>
    <w:uiPriority w:val="99"/>
    <w:rPr>
      <w:rFonts w:ascii="Times New Roman" w:hAnsi="Times New Roman" w:eastAsia="宋体" w:cs="Times New Roman"/>
      <w:kern w:val="2"/>
      <w:sz w:val="21"/>
      <w:szCs w:val="20"/>
      <w:lang w:val="en-US" w:eastAsia="zh-CN" w:bidi="ar-SA"/>
    </w:rPr>
  </w:style>
  <w:style w:type="character" w:customStyle="1" w:styleId="16">
    <w:name w:val="批注文字 字符"/>
    <w:basedOn w:val="10"/>
    <w:link w:val="3"/>
    <w:semiHidden/>
    <w:qFormat/>
    <w:uiPriority w:val="99"/>
    <w:rPr>
      <w:rFonts w:ascii="Times New Roman" w:hAnsi="Times New Roman" w:eastAsia="宋体" w:cs="Times New Roman"/>
      <w:sz w:val="21"/>
      <w:szCs w:val="20"/>
      <w:lang w:eastAsia="zh-CN"/>
    </w:rPr>
  </w:style>
  <w:style w:type="character" w:customStyle="1" w:styleId="17">
    <w:name w:val="批注主题 字符"/>
    <w:basedOn w:val="16"/>
    <w:link w:val="7"/>
    <w:semiHidden/>
    <w:qFormat/>
    <w:uiPriority w:val="99"/>
    <w:rPr>
      <w:rFonts w:ascii="Times New Roman" w:hAnsi="Times New Roman" w:eastAsia="宋体" w:cs="Times New Roman"/>
      <w:b/>
      <w:bCs/>
      <w:sz w:val="21"/>
      <w:szCs w:val="20"/>
      <w:lang w:eastAsia="zh-CN"/>
    </w:rPr>
  </w:style>
  <w:style w:type="paragraph" w:customStyle="1" w:styleId="18">
    <w:name w:val="Table Text"/>
    <w:basedOn w:val="1"/>
    <w:semiHidden/>
    <w:qFormat/>
    <w:uiPriority w:val="0"/>
    <w:rPr>
      <w:rFonts w:ascii="宋体" w:hAnsi="宋体" w:eastAsia="宋体" w:cs="宋体"/>
      <w:sz w:val="24"/>
      <w:szCs w:val="24"/>
      <w:lang w:val="en-US" w:eastAsia="en-US" w:bidi="ar-SA"/>
    </w:r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10061</Words>
  <Characters>11748</Characters>
  <Lines>11</Lines>
  <Paragraphs>3</Paragraphs>
  <TotalTime>14</TotalTime>
  <ScaleCrop>false</ScaleCrop>
  <LinksUpToDate>false</LinksUpToDate>
  <CharactersWithSpaces>12141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2024-06-13T14:20:00Z</dcterms:created>
  <dc:creator>Office User</dc:creator>
  <cp:lastModifiedBy>G</cp:lastModifiedBy>
  <dcterms:modified xsi:type="dcterms:W3CDTF">2025-05-19T08:21:34Z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6E63E64B356F4667A8911FEE9F1A6D01_13</vt:lpwstr>
  </property>
  <property fmtid="{D5CDD505-2E9C-101B-9397-08002B2CF9AE}" pid="4" name="KSOTemplateDocerSaveRecord">
    <vt:lpwstr>eyJoZGlkIjoiMDMyZmFkNTAyOGVmMDVlNjQ5YzYzMDBjNzkwMDEzNDgiLCJ1c2VySWQiOiIxNTE2Njk2MTk0In0=</vt:lpwstr>
  </property>
</Properties>
</file>