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自定义部署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体积较大，如果下载困难，也可以自己搭建虚拟机环境。注意，整套环境运行时内存要求在8~10G左右，购买云服务的同学请酌情处理。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1.准备工作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正式部署前需要做一些准备工作，如果已经做过可以跳过。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1.1.防火墙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注意，如果是</w:t>
      </w:r>
      <w:r>
        <w:rPr>
          <w:rFonts w:eastAsia="等线" w:ascii="Arial" w:cs="Arial" w:hAnsi="Arial"/>
          <w:b w:val="true"/>
          <w:sz w:val="22"/>
        </w:rPr>
        <w:t>本地</w:t>
      </w:r>
      <w:r>
        <w:rPr>
          <w:rFonts w:eastAsia="等线" w:ascii="Arial" w:cs="Arial" w:hAnsi="Arial"/>
          <w:b w:val="true"/>
          <w:sz w:val="22"/>
        </w:rPr>
        <w:t>虚拟机</w:t>
      </w:r>
      <w:r>
        <w:rPr>
          <w:rFonts w:eastAsia="等线" w:ascii="Arial" w:cs="Arial" w:hAnsi="Arial"/>
          <w:sz w:val="22"/>
        </w:rPr>
        <w:t>部署，建议直接</w:t>
      </w:r>
      <w:r>
        <w:rPr>
          <w:rFonts w:eastAsia="等线" w:ascii="Arial" w:cs="Arial" w:hAnsi="Arial"/>
          <w:b w:val="true"/>
          <w:sz w:val="22"/>
        </w:rPr>
        <w:t>关闭</w:t>
      </w:r>
      <w:r>
        <w:rPr>
          <w:rFonts w:eastAsia="等线" w:ascii="Arial" w:cs="Arial" w:hAnsi="Arial"/>
          <w:sz w:val="22"/>
        </w:rPr>
        <w:t>防火墙。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如果是</w:t>
      </w:r>
      <w:r>
        <w:rPr>
          <w:rFonts w:eastAsia="等线" w:ascii="Arial" w:cs="Arial" w:hAnsi="Arial"/>
          <w:b w:val="true"/>
          <w:sz w:val="22"/>
        </w:rPr>
        <w:t>云服务</w:t>
      </w:r>
      <w:r>
        <w:rPr>
          <w:rFonts w:eastAsia="等线" w:ascii="Arial" w:cs="Arial" w:hAnsi="Arial"/>
          <w:sz w:val="22"/>
        </w:rPr>
        <w:t>部署，建议</w:t>
      </w:r>
      <w:r>
        <w:rPr>
          <w:rFonts w:eastAsia="等线" w:ascii="Arial" w:cs="Arial" w:hAnsi="Arial"/>
          <w:b w:val="true"/>
          <w:sz w:val="22"/>
        </w:rPr>
        <w:t>打开</w:t>
      </w:r>
      <w:r>
        <w:rPr>
          <w:rFonts w:eastAsia="等线" w:ascii="Arial" w:cs="Arial" w:hAnsi="Arial"/>
          <w:sz w:val="22"/>
        </w:rPr>
        <w:t>项目所需的各种</w:t>
      </w:r>
      <w:r>
        <w:rPr>
          <w:rFonts w:eastAsia="等线" w:ascii="Arial" w:cs="Arial" w:hAnsi="Arial"/>
          <w:b w:val="true"/>
          <w:sz w:val="22"/>
        </w:rPr>
        <w:t>端口</w:t>
      </w:r>
      <w:r>
        <w:rPr>
          <w:rFonts w:eastAsia="等线" w:ascii="Arial" w:cs="Arial" w:hAnsi="Arial"/>
          <w:sz w:val="22"/>
        </w:rPr>
        <w:t>，包括：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3306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5672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6379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7099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8080至8093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8099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8880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9200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9300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10022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10880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15672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18080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50000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1.2.清理旧软件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中的旧的软件、Docker容器都被清除或者关闭开机自启，例如：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MySQL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Nginx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JDK（如果已经安装JDK11则无需卸载）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1.3.网络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确保网络畅通，可以访问</w:t>
      </w:r>
      <w:r>
        <w:rPr>
          <w:rFonts w:eastAsia="等线" w:ascii="Arial" w:cs="Arial" w:hAnsi="Arial"/>
          <w:sz w:val="22"/>
        </w:rPr>
        <w:t>外网</w:t>
      </w:r>
      <w:r>
        <w:rPr>
          <w:rFonts w:eastAsia="等线" w:ascii="Arial" w:cs="Arial" w:hAnsi="Arial"/>
          <w:sz w:val="22"/>
        </w:rPr>
        <w:t>，另外最好是把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的网络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设置为192.168.150.101，具体可参考虚拟机导入说明中的《配置VMware网络》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1.4.Docker镜像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环境中需要安装的软件较多，包括：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2415"/>
        <w:gridCol w:w="4230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序号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软件名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镜像名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Elasticsearch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elasticsearch:7.12.1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MySQL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mysql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Redis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redis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RabbitMQ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rabbitmq:3.8-management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XXL-JOB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xuxueli/xxl-job-admin:2.3.0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Nacos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nacos/nacos-server:v2.1.0-slim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Seata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seataio/seata-server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Gogs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gogs/gogs:0.12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Jenkins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jenkins/jenkins:2.361.1-lts-jdk11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Nginx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nginx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11</w:t>
            </w:r>
          </w:p>
        </w:tc>
        <w:tc>
          <w:tcPr>
            <w:tcW w:w="24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JDK</w:t>
            </w:r>
          </w:p>
        </w:tc>
        <w:tc>
          <w:tcPr>
            <w:tcW w:w="4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openjdk:11.0</w:t>
            </w:r>
            <w:r>
              <w:rPr>
                <w:rFonts w:eastAsia="等线" w:ascii="Arial" w:cs="Arial" w:hAnsi="Arial"/>
                <w:b w:val="true"/>
                <w:sz w:val="22"/>
              </w:rPr>
              <w:t>-</w:t>
            </w:r>
            <w:r>
              <w:rPr>
                <w:rFonts w:eastAsia="等线" w:ascii="Arial" w:cs="Arial" w:hAnsi="Arial"/>
                <w:sz w:val="22"/>
              </w:rPr>
              <w:t>jre-buster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镜像体积非常大，建议</w:t>
      </w:r>
      <w:r>
        <w:rPr>
          <w:rFonts w:eastAsia="等线" w:ascii="Arial" w:cs="Arial" w:hAnsi="Arial"/>
          <w:b w:val="true"/>
          <w:sz w:val="22"/>
        </w:rPr>
        <w:t>提前拉取</w:t>
      </w:r>
      <w:r>
        <w:rPr>
          <w:rFonts w:eastAsia="等线" w:ascii="Arial" w:cs="Arial" w:hAnsi="Arial"/>
          <w:sz w:val="22"/>
        </w:rPr>
        <w:t>对应镜像。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当然也可以使用课前资料提供的镜像包：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431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2.配置内存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占用内存较高，需要10G左右。有条件的同学的可以直接设置16G，其他同学至少配置8G内存。如果是购买云服务的同学，请根据自己的经济实力酌情购买。如果内存确实不足，则需要配置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来应对，参考2.2节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2.1.配置基础内存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在VMware中设置：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528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设置内存为8G（有条件的同学选择16G）：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1055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还有</w:t>
      </w:r>
      <w:r>
        <w:rPr>
          <w:rFonts w:eastAsia="等线" w:ascii="Arial" w:cs="Arial" w:hAnsi="Arial"/>
          <w:sz w:val="22"/>
        </w:rPr>
        <w:t>CPU</w:t>
      </w:r>
      <w:r>
        <w:rPr>
          <w:rFonts w:eastAsia="等线" w:ascii="Arial" w:cs="Arial" w:hAnsi="Arial"/>
          <w:sz w:val="22"/>
        </w:rPr>
        <w:t>核数，有条件的话尽可能调高：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1055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2.2.配置</w:t>
      </w:r>
      <w:r>
        <w:rPr>
          <w:rFonts w:eastAsia="等线" w:ascii="Arial" w:cs="Arial" w:hAnsi="Arial"/>
          <w:b w:val="true"/>
          <w:sz w:val="32"/>
        </w:rPr>
        <w:t>虚拟内存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如果你的</w:t>
            </w:r>
            <w:r>
              <w:rPr>
                <w:rFonts w:eastAsia="等线" w:ascii="Arial" w:cs="Arial" w:hAnsi="Arial"/>
                <w:sz w:val="22"/>
              </w:rPr>
              <w:t>虚拟机</w:t>
            </w:r>
            <w:r>
              <w:rPr>
                <w:rFonts w:eastAsia="等线" w:ascii="Arial" w:cs="Arial" w:hAnsi="Arial"/>
                <w:sz w:val="22"/>
              </w:rPr>
              <w:t>已经设置了16G内存，则可以</w:t>
            </w:r>
            <w:r>
              <w:rPr>
                <w:rFonts w:eastAsia="等线" w:ascii="Arial" w:cs="Arial" w:hAnsi="Arial"/>
                <w:b w:val="true"/>
                <w:sz w:val="22"/>
              </w:rPr>
              <w:t>跳过</w:t>
            </w:r>
            <w:r>
              <w:rPr>
                <w:rFonts w:eastAsia="等线" w:ascii="Arial" w:cs="Arial" w:hAnsi="Arial"/>
                <w:sz w:val="22"/>
              </w:rPr>
              <w:t>下面的步骤。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首先通过命令查看自己的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free -h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667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Swap后面的total就是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大小。我这台机器已经有2G虚拟内存，有些同学这里可能为0，也有些可能是7.9。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如果swap后面的total已经大于5G，则</w:t>
            </w:r>
            <w:r>
              <w:rPr>
                <w:rFonts w:eastAsia="等线" w:ascii="Arial" w:cs="Arial" w:hAnsi="Arial"/>
                <w:b w:val="true"/>
                <w:sz w:val="22"/>
              </w:rPr>
              <w:t>跳过</w:t>
            </w:r>
            <w:r>
              <w:rPr>
                <w:rFonts w:eastAsia="等线" w:ascii="Arial" w:cs="Arial" w:hAnsi="Arial"/>
                <w:sz w:val="22"/>
              </w:rPr>
              <w:t>后面的步骤。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不足，则需要添加虚拟及内存。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首先，创建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内存文件：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dd if=/dev/zero of=/root/swapfile bs=1M count=8192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此步骤可能会花费较长时间，需要耐心等待。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144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查看/root目录的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内存文件：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144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接着我们还需要构建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构建</w:t>
              <w:br/>
              <w:t>mkswap /root/swapfile</w:t>
              <w:br/>
              <w:t>#激活</w:t>
              <w:br/>
            </w:r>
            <w:r>
              <w:rPr>
                <w:rFonts w:eastAsia="Consolas" w:ascii="Consolas" w:cs="Consolas" w:hAnsi="Consolas"/>
                <w:sz w:val="22"/>
              </w:rPr>
              <w:t>swapon /root/swapfile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334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提示说文件权限不安全，需要设置为600，避免非root用户操作文件：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chmod 600 /root/swapfile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0490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再次通过</w:t>
      </w:r>
      <w:r>
        <w:rPr>
          <w:rFonts w:eastAsia="Consolas" w:ascii="Consolas" w:cs="Consolas" w:hAnsi="Consolas"/>
          <w:sz w:val="22"/>
          <w:shd w:fill="EFF0F1"/>
        </w:rPr>
        <w:t>free -h</w:t>
      </w:r>
      <w:r>
        <w:rPr>
          <w:rFonts w:eastAsia="等线" w:ascii="Arial" w:cs="Arial" w:hAnsi="Arial"/>
          <w:sz w:val="22"/>
        </w:rPr>
        <w:t>命令查看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大小：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667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已经达到8G了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3.搭建环境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接下来，就可以部署环境了，不过要注意，确保你的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满足下列条件：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安装完成Docker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安装完成DockerCompose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可以连接网络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内存超过达到16G，或者内存+</w:t>
      </w:r>
      <w:r>
        <w:rPr>
          <w:rFonts w:eastAsia="等线" w:ascii="Arial" w:cs="Arial" w:hAnsi="Arial"/>
          <w:sz w:val="22"/>
        </w:rPr>
        <w:t>虚拟内存</w:t>
      </w:r>
      <w:r>
        <w:rPr>
          <w:rFonts w:eastAsia="等线" w:ascii="Arial" w:cs="Arial" w:hAnsi="Arial"/>
          <w:sz w:val="22"/>
        </w:rPr>
        <w:t>达到16G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接下来，我们就可以部署项目环境了。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3.1.上传脚本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首先，我们需要上传课前资料准备的脚本：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2395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介绍：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init.sh：搭建环境的脚本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tjxt.env.tar.gz：项目环境数据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我们将其上传到任意目录，比如 </w:t>
      </w:r>
      <w:r>
        <w:rPr>
          <w:rFonts w:eastAsia="Consolas" w:ascii="Consolas" w:cs="Consolas" w:hAnsi="Consolas"/>
          <w:sz w:val="22"/>
          <w:shd w:fill="EFF0F1"/>
        </w:rPr>
        <w:t>/root</w:t>
      </w:r>
      <w:r>
        <w:rPr>
          <w:rFonts w:eastAsia="等线" w:ascii="Arial" w:cs="Arial" w:hAnsi="Arial"/>
          <w:sz w:val="22"/>
        </w:rPr>
        <w:t>目录：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0490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3.2.执行脚本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接下来，执行</w:t>
      </w:r>
      <w:r>
        <w:rPr>
          <w:rFonts w:eastAsia="Consolas" w:ascii="Consolas" w:cs="Consolas" w:hAnsi="Consolas"/>
          <w:sz w:val="22"/>
          <w:shd w:fill="EFF0F1"/>
        </w:rPr>
        <w:t>init.sh</w:t>
      </w:r>
      <w:r>
        <w:rPr>
          <w:rFonts w:eastAsia="等线" w:ascii="Arial" w:cs="Arial" w:hAnsi="Arial"/>
          <w:sz w:val="22"/>
        </w:rPr>
        <w:t xml:space="preserve">脚本。注意，命令后面的 </w:t>
      </w:r>
      <w:r>
        <w:rPr>
          <w:rFonts w:eastAsia="Consolas" w:ascii="Consolas" w:cs="Consolas" w:hAnsi="Consolas"/>
          <w:sz w:val="22"/>
          <w:shd w:fill="EFF0F1"/>
        </w:rPr>
        <w:t>-i 192.168.150.101</w:t>
      </w:r>
      <w:r>
        <w:rPr>
          <w:rFonts w:eastAsia="等线" w:ascii="Arial" w:cs="Arial" w:hAnsi="Arial"/>
          <w:sz w:val="22"/>
        </w:rPr>
        <w:t xml:space="preserve"> 需要修改成你自己的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地址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将 192.168.150.101修改成你自己的虚拟机IP地址</w:t>
              <w:br/>
            </w:r>
            <w:r>
              <w:rPr>
                <w:rFonts w:eastAsia="Consolas" w:ascii="Consolas" w:cs="Consolas" w:hAnsi="Consolas"/>
                <w:sz w:val="22"/>
              </w:rPr>
              <w:t>sh init.sh -i 192.168.150.101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运行效果：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81325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注意，脚本运行完成后，请重启自己的</w:t>
            </w:r>
            <w:r>
              <w:rPr>
                <w:rFonts w:eastAsia="等线" w:ascii="Arial" w:cs="Arial" w:hAnsi="Arial"/>
                <w:sz w:val="22"/>
              </w:rPr>
              <w:t>虚拟机</w:t>
            </w:r>
            <w:r>
              <w:rPr>
                <w:rFonts w:eastAsia="等线" w:ascii="Arial" w:cs="Arial" w:hAnsi="Arial"/>
                <w:sz w:val="22"/>
              </w:rPr>
              <w:t>，让Docker挂载生效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注意，如果发现seata容器启动失败，一般是因为nacos启动太慢导致，可以手动重启seata容器。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restart seata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环境中配置了别名，具体映射关系如下：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alias dps='docker ps --format "table{{.ID}}\t{{.Names}}\t{{.Status}}\t{{.Ports}}"'</w:t>
              <w:br/>
              <w:t>alias dis='docker images'</w:t>
              <w:br/>
              <w:t>alias dexe='docker exec -it'</w:t>
              <w:br/>
              <w:t>alias dlog='docker logs'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alias dc='docker compose'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因此，大家可以利用命令快捷操作，例如：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查看运行中的容器</w:t>
              <w:br/>
              <w:t>dps</w:t>
              <w:br/>
              <w:t># 查看镜像</w:t>
              <w:br/>
              <w:t>dis</w:t>
              <w:br/>
              <w:br/>
              <w:t># 启动所有环境中间件，注意，需要在/usr/local/src目录下运行，因为docker-compose.yml文件在这个目录</w:t>
              <w:br/>
              <w:t>dc up -d</w:t>
              <w:br/>
              <w:t># 停止所有环境中间件</w:t>
              <w:br/>
              <w:t>dc stop</w:t>
              <w:br/>
              <w:t># 停止并移除所有中间件</w:t>
              <w:br/>
            </w:r>
            <w:r>
              <w:rPr>
                <w:rFonts w:eastAsia="Consolas" w:ascii="Consolas" w:cs="Consolas" w:hAnsi="Consolas"/>
                <w:sz w:val="22"/>
              </w:rPr>
              <w:t>dc down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3.3.配置本地hosts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为了方便我们访问环境中提供的</w:t>
      </w:r>
      <w:r>
        <w:rPr>
          <w:rFonts w:eastAsia="等线" w:ascii="Arial" w:cs="Arial" w:hAnsi="Arial"/>
          <w:sz w:val="22"/>
        </w:rPr>
        <w:t>MQ</w:t>
      </w:r>
      <w:r>
        <w:rPr>
          <w:rFonts w:eastAsia="等线" w:ascii="Arial" w:cs="Arial" w:hAnsi="Arial"/>
          <w:sz w:val="22"/>
        </w:rPr>
        <w:t>、Nacos、GOGS、Jenkins等服务的控制台，我们可以将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映射到一个域名上。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假如你的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地址是192.168.150.101，则映射关系如下：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192.168.150.101 git.tianji.com</w:t>
              <w:br/>
              <w:t>192.168.150.101 jenkins.tianji.com</w:t>
              <w:br/>
              <w:t>192.168.150.101 mq.tianji.com</w:t>
              <w:br/>
              <w:t>192.168.150.101 nacos.tianji.com</w:t>
              <w:br/>
              <w:t>192.168.150.101 xxljob.tianji.com</w:t>
              <w:br/>
              <w:t>192.168.150.101 es.tianji.com</w:t>
              <w:br/>
              <w:t>192.168.150.101 api.tianji.com</w:t>
              <w:br/>
              <w:t>192.168.150.101 www.tianji.com</w:t>
              <w:br/>
            </w:r>
            <w:r>
              <w:rPr>
                <w:rFonts w:eastAsia="Consolas" w:ascii="Consolas" w:cs="Consolas" w:hAnsi="Consolas"/>
                <w:sz w:val="22"/>
              </w:rPr>
              <w:t>192.168.150.101 manage.tianji.com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将上述内容写入本地的hosts文件即可，不同操作系统hosts文件目录不同：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Windows：在 </w:t>
      </w:r>
      <w:r>
        <w:rPr>
          <w:rFonts w:eastAsia="Consolas" w:ascii="Consolas" w:cs="Consolas" w:hAnsi="Consolas"/>
          <w:sz w:val="22"/>
          <w:shd w:fill="EFF0F1"/>
        </w:rPr>
        <w:t>C:\WINDOWS\System32\drivers\etc\HOSTS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Linux/</w:t>
      </w:r>
      <w:r>
        <w:rPr>
          <w:rFonts w:eastAsia="等线" w:ascii="Arial" w:cs="Arial" w:hAnsi="Arial"/>
          <w:sz w:val="22"/>
        </w:rPr>
        <w:t>MacOS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/etc/hosts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现在，我们访问域名时，就会被请求转发到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地址，而虚拟机中的Nginx则会将请求转发到具体的服务上。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例如，访问代码仓库，使用这个地址：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7170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3.4.配置WebHook地址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环境中配置了</w:t>
      </w:r>
      <w:r>
        <w:rPr>
          <w:rFonts w:eastAsia="等线" w:ascii="Arial" w:cs="Arial" w:hAnsi="Arial"/>
          <w:sz w:val="22"/>
        </w:rPr>
        <w:t>持续集成</w:t>
      </w:r>
      <w:r>
        <w:rPr>
          <w:rFonts w:eastAsia="等线" w:ascii="Arial" w:cs="Arial" w:hAnsi="Arial"/>
          <w:sz w:val="22"/>
        </w:rPr>
        <w:t>功能，也就是当我们向Git仓库推送代码时，会自动触发项目构建。但是构建的目标服务器地址无法通过脚本设置，需要大家手动修改。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访问GOGS页面：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账户、密码是：tjxt/123321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然后访问tjxt仓库：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914525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然后进入仓库设置：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90750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然后进入web钩子设置，可以看到现有的钩子访问的192.168.150.101这个地址：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95525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点击修改，进入web钩子页面：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90875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将其中的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地址修改为你自己的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地址后，点击更新Web钩子按钮即可。</w:t>
      </w:r>
    </w:p>
    <w:sectPr>
      <w:footerReference w:type="default" r:id="rId3"/>
      <w:headerReference w:type="default" r:id="rId2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8312">
    <w:lvl>
      <w:numFmt w:val="bullet"/>
      <w:suff w:val="tab"/>
      <w:lvlText w:val="•"/>
      <w:rPr>
        <w:color w:val="3370ff"/>
      </w:rPr>
    </w:lvl>
  </w:abstractNum>
  <w:abstractNum w:abstractNumId="68313">
    <w:lvl>
      <w:numFmt w:val="bullet"/>
      <w:suff w:val="tab"/>
      <w:lvlText w:val="•"/>
      <w:rPr>
        <w:color w:val="3370ff"/>
      </w:rPr>
    </w:lvl>
  </w:abstractNum>
  <w:abstractNum w:abstractNumId="68314">
    <w:lvl>
      <w:numFmt w:val="bullet"/>
      <w:suff w:val="tab"/>
      <w:lvlText w:val="•"/>
      <w:rPr>
        <w:color w:val="3370ff"/>
      </w:rPr>
    </w:lvl>
  </w:abstractNum>
  <w:abstractNum w:abstractNumId="68315">
    <w:lvl>
      <w:numFmt w:val="bullet"/>
      <w:suff w:val="tab"/>
      <w:lvlText w:val="•"/>
      <w:rPr>
        <w:color w:val="3370ff"/>
      </w:rPr>
    </w:lvl>
  </w:abstractNum>
  <w:abstractNum w:abstractNumId="68316">
    <w:lvl>
      <w:numFmt w:val="bullet"/>
      <w:suff w:val="tab"/>
      <w:lvlText w:val="•"/>
      <w:rPr>
        <w:color w:val="3370ff"/>
      </w:rPr>
    </w:lvl>
  </w:abstractNum>
  <w:abstractNum w:abstractNumId="68317">
    <w:lvl>
      <w:numFmt w:val="bullet"/>
      <w:suff w:val="tab"/>
      <w:lvlText w:val="•"/>
      <w:rPr>
        <w:color w:val="3370ff"/>
      </w:rPr>
    </w:lvl>
  </w:abstractNum>
  <w:abstractNum w:abstractNumId="68318">
    <w:lvl>
      <w:numFmt w:val="bullet"/>
      <w:suff w:val="tab"/>
      <w:lvlText w:val="•"/>
      <w:rPr>
        <w:color w:val="3370ff"/>
      </w:rPr>
    </w:lvl>
  </w:abstractNum>
  <w:abstractNum w:abstractNumId="68319">
    <w:lvl>
      <w:numFmt w:val="bullet"/>
      <w:suff w:val="tab"/>
      <w:lvlText w:val="•"/>
      <w:rPr>
        <w:color w:val="3370ff"/>
      </w:rPr>
    </w:lvl>
  </w:abstractNum>
  <w:abstractNum w:abstractNumId="68320">
    <w:lvl>
      <w:numFmt w:val="bullet"/>
      <w:suff w:val="tab"/>
      <w:lvlText w:val="•"/>
      <w:rPr>
        <w:color w:val="3370ff"/>
      </w:rPr>
    </w:lvl>
  </w:abstractNum>
  <w:abstractNum w:abstractNumId="68321">
    <w:lvl>
      <w:numFmt w:val="bullet"/>
      <w:suff w:val="tab"/>
      <w:lvlText w:val="•"/>
      <w:rPr>
        <w:color w:val="3370ff"/>
      </w:rPr>
    </w:lvl>
  </w:abstractNum>
  <w:abstractNum w:abstractNumId="68322">
    <w:lvl>
      <w:numFmt w:val="bullet"/>
      <w:suff w:val="tab"/>
      <w:lvlText w:val="•"/>
      <w:rPr>
        <w:color w:val="3370ff"/>
      </w:rPr>
    </w:lvl>
  </w:abstractNum>
  <w:abstractNum w:abstractNumId="68323">
    <w:lvl>
      <w:numFmt w:val="bullet"/>
      <w:suff w:val="tab"/>
      <w:lvlText w:val="•"/>
      <w:rPr>
        <w:color w:val="3370ff"/>
      </w:rPr>
    </w:lvl>
  </w:abstractNum>
  <w:abstractNum w:abstractNumId="68324">
    <w:lvl>
      <w:numFmt w:val="bullet"/>
      <w:suff w:val="tab"/>
      <w:lvlText w:val="•"/>
      <w:rPr>
        <w:color w:val="3370ff"/>
      </w:rPr>
    </w:lvl>
  </w:abstractNum>
  <w:abstractNum w:abstractNumId="68325">
    <w:lvl>
      <w:numFmt w:val="bullet"/>
      <w:suff w:val="tab"/>
      <w:lvlText w:val="•"/>
      <w:rPr>
        <w:color w:val="3370ff"/>
      </w:rPr>
    </w:lvl>
  </w:abstractNum>
  <w:abstractNum w:abstractNumId="68326">
    <w:lvl>
      <w:numFmt w:val="bullet"/>
      <w:suff w:val="tab"/>
      <w:lvlText w:val="•"/>
      <w:rPr>
        <w:color w:val="3370ff"/>
      </w:rPr>
    </w:lvl>
  </w:abstractNum>
  <w:abstractNum w:abstractNumId="68327">
    <w:lvl>
      <w:numFmt w:val="bullet"/>
      <w:suff w:val="tab"/>
      <w:lvlText w:val="•"/>
      <w:rPr>
        <w:color w:val="3370ff"/>
      </w:rPr>
    </w:lvl>
  </w:abstractNum>
  <w:abstractNum w:abstractNumId="68328">
    <w:lvl>
      <w:numFmt w:val="bullet"/>
      <w:suff w:val="tab"/>
      <w:lvlText w:val="•"/>
      <w:rPr>
        <w:color w:val="3370ff"/>
      </w:rPr>
    </w:lvl>
  </w:abstractNum>
  <w:abstractNum w:abstractNumId="68329">
    <w:lvl>
      <w:numFmt w:val="bullet"/>
      <w:suff w:val="tab"/>
      <w:lvlText w:val="•"/>
      <w:rPr>
        <w:color w:val="3370ff"/>
      </w:rPr>
    </w:lvl>
  </w:abstractNum>
  <w:abstractNum w:abstractNumId="68330">
    <w:lvl>
      <w:numFmt w:val="bullet"/>
      <w:suff w:val="tab"/>
      <w:lvlText w:val="•"/>
      <w:rPr>
        <w:color w:val="3370ff"/>
      </w:rPr>
    </w:lvl>
  </w:abstractNum>
  <w:abstractNum w:abstractNumId="68331">
    <w:lvl>
      <w:numFmt w:val="bullet"/>
      <w:suff w:val="tab"/>
      <w:lvlText w:val="•"/>
      <w:rPr>
        <w:color w:val="3370ff"/>
      </w:rPr>
    </w:lvl>
  </w:abstractNum>
  <w:abstractNum w:abstractNumId="68332">
    <w:lvl>
      <w:numFmt w:val="bullet"/>
      <w:suff w:val="tab"/>
      <w:lvlText w:val="•"/>
      <w:rPr>
        <w:color w:val="3370ff"/>
      </w:rPr>
    </w:lvl>
  </w:abstractNum>
  <w:abstractNum w:abstractNumId="68333">
    <w:lvl>
      <w:numFmt w:val="bullet"/>
      <w:suff w:val="tab"/>
      <w:lvlText w:val="•"/>
      <w:rPr>
        <w:color w:val="3370ff"/>
      </w:rPr>
    </w:lvl>
  </w:abstractNum>
  <w:abstractNum w:abstractNumId="68334">
    <w:lvl>
      <w:numFmt w:val="bullet"/>
      <w:suff w:val="tab"/>
      <w:lvlText w:val="•"/>
      <w:rPr>
        <w:color w:val="3370ff"/>
      </w:rPr>
    </w:lvl>
  </w:abstractNum>
  <w:abstractNum w:abstractNumId="68335">
    <w:lvl>
      <w:numFmt w:val="bullet"/>
      <w:suff w:val="tab"/>
      <w:lvlText w:val="•"/>
      <w:rPr>
        <w:color w:val="3370ff"/>
      </w:rPr>
    </w:lvl>
  </w:abstractNum>
  <w:abstractNum w:abstractNumId="68336">
    <w:lvl>
      <w:numFmt w:val="bullet"/>
      <w:suff w:val="tab"/>
      <w:lvlText w:val="•"/>
      <w:rPr>
        <w:color w:val="3370ff"/>
      </w:rPr>
    </w:lvl>
  </w:abstractNum>
  <w:abstractNum w:abstractNumId="68337">
    <w:lvl>
      <w:numFmt w:val="bullet"/>
      <w:suff w:val="tab"/>
      <w:lvlText w:val="•"/>
      <w:rPr>
        <w:color w:val="3370ff"/>
      </w:rPr>
    </w:lvl>
  </w:abstractNum>
  <w:num w:numId="1">
    <w:abstractNumId w:val="68312"/>
  </w:num>
  <w:num w:numId="2">
    <w:abstractNumId w:val="68313"/>
  </w:num>
  <w:num w:numId="3">
    <w:abstractNumId w:val="68314"/>
  </w:num>
  <w:num w:numId="4">
    <w:abstractNumId w:val="68315"/>
  </w:num>
  <w:num w:numId="5">
    <w:abstractNumId w:val="68316"/>
  </w:num>
  <w:num w:numId="6">
    <w:abstractNumId w:val="68317"/>
  </w:num>
  <w:num w:numId="7">
    <w:abstractNumId w:val="68318"/>
  </w:num>
  <w:num w:numId="8">
    <w:abstractNumId w:val="68319"/>
  </w:num>
  <w:num w:numId="9">
    <w:abstractNumId w:val="68320"/>
  </w:num>
  <w:num w:numId="10">
    <w:abstractNumId w:val="68321"/>
  </w:num>
  <w:num w:numId="11">
    <w:abstractNumId w:val="68322"/>
  </w:num>
  <w:num w:numId="12">
    <w:abstractNumId w:val="68323"/>
  </w:num>
  <w:num w:numId="13">
    <w:abstractNumId w:val="68324"/>
  </w:num>
  <w:num w:numId="14">
    <w:abstractNumId w:val="68325"/>
  </w:num>
  <w:num w:numId="15">
    <w:abstractNumId w:val="68326"/>
  </w:num>
  <w:num w:numId="16">
    <w:abstractNumId w:val="68327"/>
  </w:num>
  <w:num w:numId="17">
    <w:abstractNumId w:val="68328"/>
  </w:num>
  <w:num w:numId="18">
    <w:abstractNumId w:val="68329"/>
  </w:num>
  <w:num w:numId="19">
    <w:abstractNumId w:val="68330"/>
  </w:num>
  <w:num w:numId="20">
    <w:abstractNumId w:val="68331"/>
  </w:num>
  <w:num w:numId="21">
    <w:abstractNumId w:val="68332"/>
  </w:num>
  <w:num w:numId="22">
    <w:abstractNumId w:val="68333"/>
  </w:num>
  <w:num w:numId="23">
    <w:abstractNumId w:val="68334"/>
  </w:num>
  <w:num w:numId="24">
    <w:abstractNumId w:val="68335"/>
  </w:num>
  <w:num w:numId="25">
    <w:abstractNumId w:val="68336"/>
  </w:num>
  <w:num w:numId="26">
    <w:abstractNumId w:val="6833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media/image14.png" Type="http://schemas.openxmlformats.org/officeDocument/2006/relationships/image"/><Relationship Id="rId19" Target="media/image15.png" Type="http://schemas.openxmlformats.org/officeDocument/2006/relationships/image"/><Relationship Id="rId2" Target="styles.xml" Type="http://schemas.openxmlformats.org/officeDocument/2006/relationships/styles"/><Relationship Id="rId20" Target="media/image16.png" Type="http://schemas.openxmlformats.org/officeDocument/2006/relationships/image"/><Relationship Id="rId21" Target="media/image17.png" Type="http://schemas.openxmlformats.org/officeDocument/2006/relationships/image"/><Relationship Id="rId22" Target="media/image18.png" Type="http://schemas.openxmlformats.org/officeDocument/2006/relationships/image"/><Relationship Id="rId23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2023-09-04T08:03:22Z</dcterms:created>
  <dc:creator>Apache POI</dc:creator>
</cp:coreProperties>
</file>