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034C5">
      <w:pPr>
        <w:spacing w:line="520" w:lineRule="exact"/>
        <w:rPr>
          <w:rFonts w:hint="default" w:ascii="Times New Roman" w:hAnsi="Times New Roman" w:eastAsia="黑体" w:cs="Times New Roman"/>
          <w:color w:val="000000"/>
          <w:highlight w:val="none"/>
        </w:rPr>
      </w:pPr>
      <w:bookmarkStart w:id="0" w:name="OLE_LINK9"/>
      <w:r>
        <w:rPr>
          <w:rFonts w:hint="default" w:ascii="Times New Roman" w:hAnsi="Times New Roman" w:eastAsia="黑体" w:cs="Times New Roman"/>
          <w:color w:val="000000"/>
          <w:highlight w:val="none"/>
        </w:rPr>
        <w:t xml:space="preserve">附件 </w:t>
      </w:r>
      <w:r>
        <w:rPr>
          <w:rFonts w:hint="default" w:ascii="Times New Roman" w:hAnsi="Times New Roman" w:eastAsia="黑体" w:cs="Times New Roman"/>
          <w:color w:val="000000"/>
          <w:highlight w:val="none"/>
        </w:rPr>
        <w:tab/>
      </w:r>
      <w:r>
        <w:rPr>
          <w:rFonts w:hint="default" w:ascii="Times New Roman" w:hAnsi="Times New Roman" w:eastAsia="黑体" w:cs="Times New Roman"/>
          <w:color w:val="000000"/>
          <w:highlight w:val="none"/>
        </w:rPr>
        <w:t xml:space="preserve">                 </w:t>
      </w:r>
    </w:p>
    <w:p w14:paraId="0080725F">
      <w:pPr>
        <w:spacing w:line="520" w:lineRule="exact"/>
        <w:jc w:val="center"/>
        <w:rPr>
          <w:rFonts w:hint="default" w:ascii="Times New Roman" w:hAnsi="Times New Roman" w:cs="Times New Roman"/>
          <w:color w:val="000000"/>
          <w:sz w:val="24"/>
          <w:highlight w:val="none"/>
        </w:rPr>
      </w:pPr>
      <w:r>
        <w:rPr>
          <w:rFonts w:hint="default" w:ascii="Times New Roman" w:hAnsi="Times New Roman" w:eastAsia="方正小标宋简体" w:cs="Times New Roman"/>
          <w:color w:val="000000"/>
          <w:sz w:val="36"/>
          <w:szCs w:val="36"/>
          <w:highlight w:val="none"/>
        </w:rPr>
        <w:t>四川省汽、柴油最高批发零售价格表</w:t>
      </w:r>
      <w:r>
        <w:rPr>
          <w:rFonts w:hint="default" w:ascii="Times New Roman" w:hAnsi="Times New Roman" w:cs="Times New Roman"/>
          <w:color w:val="000000"/>
          <w:sz w:val="24"/>
          <w:highlight w:val="none"/>
        </w:rPr>
        <w:t xml:space="preserve"> </w:t>
      </w:r>
    </w:p>
    <w:p w14:paraId="65D55BB0">
      <w:pPr>
        <w:spacing w:line="520" w:lineRule="exact"/>
        <w:jc w:val="center"/>
        <w:rPr>
          <w:rFonts w:hint="default" w:ascii="Times New Roman" w:hAnsi="Times New Roman" w:eastAsia="仿宋_GB2312" w:cs="Times New Roman"/>
          <w:color w:val="000000"/>
          <w:sz w:val="24"/>
          <w:highlight w:val="none"/>
          <w:lang w:eastAsia="zh-CN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val="en-US" w:eastAsia="zh-CN"/>
        </w:rPr>
        <w:t>202</w:t>
      </w:r>
      <w:r>
        <w:rPr>
          <w:rFonts w:hint="eastAsia" w:cs="Times New Roman"/>
          <w:color w:val="000000"/>
          <w:sz w:val="24"/>
          <w:highlight w:val="none"/>
          <w:lang w:val="en-US" w:eastAsia="zh-CN"/>
        </w:rPr>
        <w:t>6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val="en-US" w:eastAsia="zh-CN"/>
        </w:rPr>
        <w:t>年</w:t>
      </w:r>
      <w:r>
        <w:rPr>
          <w:rFonts w:hint="eastAsia" w:cs="Times New Roman"/>
          <w:color w:val="000000"/>
          <w:sz w:val="24"/>
          <w:highlight w:val="none"/>
          <w:lang w:val="en-US" w:eastAsia="zh-CN"/>
        </w:rPr>
        <w:t>9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val="en-US" w:eastAsia="zh-CN"/>
        </w:rPr>
        <w:t>月</w:t>
      </w:r>
      <w:r>
        <w:rPr>
          <w:rFonts w:hint="eastAsia" w:cs="Times New Roman"/>
          <w:color w:val="000000"/>
          <w:sz w:val="24"/>
          <w:highlight w:val="none"/>
          <w:lang w:val="en-US" w:eastAsia="zh-CN"/>
        </w:rPr>
        <w:t>24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val="en-US" w:eastAsia="zh-CN"/>
        </w:rPr>
        <w:t>日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eastAsia="zh-CN"/>
        </w:rPr>
        <w:t>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930"/>
        <w:gridCol w:w="1155"/>
        <w:gridCol w:w="1035"/>
        <w:gridCol w:w="960"/>
        <w:gridCol w:w="1225"/>
        <w:gridCol w:w="1200"/>
        <w:gridCol w:w="886"/>
        <w:gridCol w:w="1154"/>
        <w:gridCol w:w="1133"/>
      </w:tblGrid>
      <w:tr w14:paraId="2247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50" w:type="dxa"/>
            <w:vMerge w:val="restart"/>
            <w:shd w:val="clear" w:color="auto" w:fill="FFFFFF"/>
            <w:noWrap w:val="0"/>
            <w:vAlign w:val="center"/>
          </w:tcPr>
          <w:p w14:paraId="79EECA69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方正仿宋简体" w:cs="Times New Roman"/>
                <w:color w:val="000000"/>
                <w:kern w:val="0"/>
                <w:szCs w:val="32"/>
                <w:highlight w:val="none"/>
                <w:lang w:bidi="ar"/>
              </w:rPr>
              <w:t>品名</w:t>
            </w:r>
          </w:p>
        </w:tc>
        <w:tc>
          <w:tcPr>
            <w:tcW w:w="3120" w:type="dxa"/>
            <w:gridSpan w:val="3"/>
            <w:shd w:val="clear" w:color="auto" w:fill="FFFFFF"/>
            <w:noWrap w:val="0"/>
            <w:vAlign w:val="center"/>
          </w:tcPr>
          <w:p w14:paraId="284B09A2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一价区</w:t>
            </w:r>
          </w:p>
        </w:tc>
        <w:tc>
          <w:tcPr>
            <w:tcW w:w="3385" w:type="dxa"/>
            <w:gridSpan w:val="3"/>
            <w:shd w:val="clear" w:color="auto" w:fill="FFFFFF"/>
            <w:noWrap w:val="0"/>
            <w:vAlign w:val="center"/>
          </w:tcPr>
          <w:p w14:paraId="3BE020B4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二价区</w:t>
            </w:r>
          </w:p>
        </w:tc>
        <w:tc>
          <w:tcPr>
            <w:tcW w:w="3173" w:type="dxa"/>
            <w:gridSpan w:val="3"/>
            <w:tcBorders>
              <w:top w:val="single" w:color="auto" w:sz="4" w:space="0"/>
            </w:tcBorders>
            <w:shd w:val="clear" w:color="auto" w:fill="FFFFFF"/>
            <w:noWrap w:val="0"/>
            <w:vAlign w:val="center"/>
          </w:tcPr>
          <w:p w14:paraId="410ABE74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三价区</w:t>
            </w:r>
          </w:p>
        </w:tc>
      </w:tr>
      <w:tr w14:paraId="758C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50" w:type="dxa"/>
            <w:vMerge w:val="continue"/>
            <w:shd w:val="clear" w:color="auto" w:fill="FFFFFF"/>
            <w:noWrap w:val="0"/>
            <w:vAlign w:val="center"/>
          </w:tcPr>
          <w:p w14:paraId="341B54A3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668E05B7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最高批发价格</w:t>
            </w:r>
          </w:p>
        </w:tc>
        <w:tc>
          <w:tcPr>
            <w:tcW w:w="2190" w:type="dxa"/>
            <w:gridSpan w:val="2"/>
            <w:shd w:val="clear" w:color="auto" w:fill="FFFFFF"/>
            <w:noWrap w:val="0"/>
            <w:vAlign w:val="center"/>
          </w:tcPr>
          <w:p w14:paraId="104167D8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最高零售价格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740916FD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最高批发价格</w:t>
            </w:r>
          </w:p>
        </w:tc>
        <w:tc>
          <w:tcPr>
            <w:tcW w:w="2425" w:type="dxa"/>
            <w:gridSpan w:val="2"/>
            <w:shd w:val="clear" w:color="auto" w:fill="FFFFFF"/>
            <w:noWrap w:val="0"/>
            <w:vAlign w:val="center"/>
          </w:tcPr>
          <w:p w14:paraId="1C82F5BB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最高零售价格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5F5333DE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最高批发价格</w:t>
            </w:r>
          </w:p>
        </w:tc>
        <w:tc>
          <w:tcPr>
            <w:tcW w:w="2287" w:type="dxa"/>
            <w:gridSpan w:val="2"/>
            <w:shd w:val="clear" w:color="auto" w:fill="FFFFFF"/>
            <w:noWrap w:val="0"/>
            <w:vAlign w:val="center"/>
          </w:tcPr>
          <w:p w14:paraId="38A5AA41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最高零售价格</w:t>
            </w:r>
          </w:p>
        </w:tc>
      </w:tr>
      <w:tr w14:paraId="4401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50" w:type="dxa"/>
            <w:vMerge w:val="continue"/>
            <w:shd w:val="clear" w:color="auto" w:fill="FFFFFF"/>
            <w:noWrap w:val="0"/>
            <w:vAlign w:val="center"/>
          </w:tcPr>
          <w:p w14:paraId="13913FD6">
            <w:pPr>
              <w:jc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</w:p>
        </w:tc>
        <w:tc>
          <w:tcPr>
            <w:tcW w:w="930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4966866C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元/吨</w:t>
            </w:r>
          </w:p>
        </w:tc>
        <w:tc>
          <w:tcPr>
            <w:tcW w:w="1155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44BF933B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元/吨</w:t>
            </w:r>
          </w:p>
        </w:tc>
        <w:tc>
          <w:tcPr>
            <w:tcW w:w="1035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010BB740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元/升</w:t>
            </w:r>
          </w:p>
        </w:tc>
        <w:tc>
          <w:tcPr>
            <w:tcW w:w="960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02D0A656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元/吨</w:t>
            </w:r>
          </w:p>
        </w:tc>
        <w:tc>
          <w:tcPr>
            <w:tcW w:w="1225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02732419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元/吨</w:t>
            </w:r>
          </w:p>
        </w:tc>
        <w:tc>
          <w:tcPr>
            <w:tcW w:w="1200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2A61982F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元/升</w:t>
            </w:r>
          </w:p>
        </w:tc>
        <w:tc>
          <w:tcPr>
            <w:tcW w:w="886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6F51D9F1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元/吨</w:t>
            </w:r>
          </w:p>
        </w:tc>
        <w:tc>
          <w:tcPr>
            <w:tcW w:w="1154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6EFCAC1F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元/吨</w:t>
            </w:r>
          </w:p>
        </w:tc>
        <w:tc>
          <w:tcPr>
            <w:tcW w:w="1133" w:type="dxa"/>
            <w:tcBorders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17D19E91">
            <w:pPr>
              <w:widowControl/>
              <w:jc w:val="center"/>
              <w:textAlignment w:val="center"/>
              <w:rPr>
                <w:rFonts w:hint="default" w:ascii="Times New Roman" w:hAnsi="Times New Roman" w:eastAsia="黑体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元/升</w:t>
            </w:r>
          </w:p>
        </w:tc>
      </w:tr>
      <w:tr w14:paraId="1B18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2750" w:type="dxa"/>
            <w:shd w:val="clear" w:color="auto" w:fill="FFFFFF"/>
            <w:noWrap w:val="0"/>
            <w:vAlign w:val="center"/>
          </w:tcPr>
          <w:p w14:paraId="38BD6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89﹟汽油（国Ⅵ）</w:t>
            </w: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3CC74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10610 </w:t>
            </w:r>
          </w:p>
        </w:tc>
        <w:tc>
          <w:tcPr>
            <w:tcW w:w="1155" w:type="dxa"/>
            <w:shd w:val="clear" w:color="auto" w:fill="FFFFFF"/>
            <w:noWrap w:val="0"/>
            <w:vAlign w:val="center"/>
          </w:tcPr>
          <w:p w14:paraId="44F8F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10910</w:t>
            </w:r>
          </w:p>
        </w:tc>
        <w:tc>
          <w:tcPr>
            <w:tcW w:w="1035" w:type="dxa"/>
            <w:shd w:val="clear" w:color="auto" w:fill="FFFFFF"/>
            <w:noWrap w:val="0"/>
            <w:vAlign w:val="center"/>
          </w:tcPr>
          <w:p w14:paraId="32080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8.08 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05FDD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10710 </w:t>
            </w:r>
          </w:p>
        </w:tc>
        <w:tc>
          <w:tcPr>
            <w:tcW w:w="1225" w:type="dxa"/>
            <w:shd w:val="clear" w:color="auto" w:fill="FFFFFF"/>
            <w:noWrap w:val="0"/>
            <w:vAlign w:val="center"/>
          </w:tcPr>
          <w:p w14:paraId="25964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11010</w:t>
            </w:r>
          </w:p>
        </w:tc>
        <w:tc>
          <w:tcPr>
            <w:tcW w:w="1200" w:type="dxa"/>
            <w:shd w:val="clear" w:color="auto" w:fill="FFFFFF"/>
            <w:noWrap w:val="0"/>
            <w:vAlign w:val="center"/>
          </w:tcPr>
          <w:p w14:paraId="32380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8.15 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53D0F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10810 </w:t>
            </w:r>
          </w:p>
        </w:tc>
        <w:tc>
          <w:tcPr>
            <w:tcW w:w="1154" w:type="dxa"/>
            <w:shd w:val="clear" w:color="auto" w:fill="FFFFFF"/>
            <w:noWrap w:val="0"/>
            <w:vAlign w:val="center"/>
          </w:tcPr>
          <w:p w14:paraId="0DA3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11110</w:t>
            </w:r>
          </w:p>
        </w:tc>
        <w:tc>
          <w:tcPr>
            <w:tcW w:w="1133" w:type="dxa"/>
            <w:shd w:val="clear" w:color="auto" w:fill="FFFFFF"/>
            <w:noWrap w:val="0"/>
            <w:vAlign w:val="center"/>
          </w:tcPr>
          <w:p w14:paraId="57C73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8.22 </w:t>
            </w:r>
          </w:p>
        </w:tc>
      </w:tr>
      <w:tr w14:paraId="4811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2750" w:type="dxa"/>
            <w:shd w:val="clear" w:color="auto" w:fill="FFFFFF"/>
            <w:noWrap w:val="0"/>
            <w:vAlign w:val="center"/>
          </w:tcPr>
          <w:p w14:paraId="5C342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92﹟汽油（国Ⅵ）</w:t>
            </w: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13116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11265 </w:t>
            </w:r>
          </w:p>
        </w:tc>
        <w:tc>
          <w:tcPr>
            <w:tcW w:w="1155" w:type="dxa"/>
            <w:shd w:val="clear" w:color="auto" w:fill="FFFFFF"/>
            <w:noWrap w:val="0"/>
            <w:vAlign w:val="center"/>
          </w:tcPr>
          <w:p w14:paraId="1D5EC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11565</w:t>
            </w:r>
          </w:p>
        </w:tc>
        <w:tc>
          <w:tcPr>
            <w:tcW w:w="1035" w:type="dxa"/>
            <w:shd w:val="clear" w:color="auto" w:fill="FFFFFF"/>
            <w:noWrap w:val="0"/>
            <w:vAlign w:val="center"/>
          </w:tcPr>
          <w:p w14:paraId="50094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8.70 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1CBC6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11365 </w:t>
            </w:r>
          </w:p>
        </w:tc>
        <w:tc>
          <w:tcPr>
            <w:tcW w:w="1225" w:type="dxa"/>
            <w:shd w:val="clear" w:color="auto" w:fill="FFFFFF"/>
            <w:noWrap w:val="0"/>
            <w:vAlign w:val="center"/>
          </w:tcPr>
          <w:p w14:paraId="09303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11665</w:t>
            </w:r>
          </w:p>
        </w:tc>
        <w:tc>
          <w:tcPr>
            <w:tcW w:w="1200" w:type="dxa"/>
            <w:shd w:val="clear" w:color="auto" w:fill="FFFFFF"/>
            <w:noWrap w:val="0"/>
            <w:vAlign w:val="center"/>
          </w:tcPr>
          <w:p w14:paraId="75101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8.78 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5DD29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11465 </w:t>
            </w:r>
          </w:p>
        </w:tc>
        <w:tc>
          <w:tcPr>
            <w:tcW w:w="1154" w:type="dxa"/>
            <w:shd w:val="clear" w:color="auto" w:fill="FFFFFF"/>
            <w:noWrap w:val="0"/>
            <w:vAlign w:val="center"/>
          </w:tcPr>
          <w:p w14:paraId="13F3B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11765</w:t>
            </w:r>
          </w:p>
        </w:tc>
        <w:tc>
          <w:tcPr>
            <w:tcW w:w="1133" w:type="dxa"/>
            <w:shd w:val="clear" w:color="auto" w:fill="FFFFFF"/>
            <w:noWrap w:val="0"/>
            <w:vAlign w:val="center"/>
          </w:tcPr>
          <w:p w14:paraId="7AB0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8.85 </w:t>
            </w:r>
          </w:p>
        </w:tc>
      </w:tr>
      <w:tr w14:paraId="00D7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2750" w:type="dxa"/>
            <w:shd w:val="clear" w:color="auto" w:fill="FFFFFF"/>
            <w:noWrap w:val="0"/>
            <w:vAlign w:val="center"/>
          </w:tcPr>
          <w:p w14:paraId="45478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95﹟汽油（国Ⅵ）</w:t>
            </w: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0AB7B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11919 </w:t>
            </w:r>
          </w:p>
        </w:tc>
        <w:tc>
          <w:tcPr>
            <w:tcW w:w="1155" w:type="dxa"/>
            <w:shd w:val="clear" w:color="auto" w:fill="FFFFFF"/>
            <w:noWrap w:val="0"/>
            <w:vAlign w:val="center"/>
          </w:tcPr>
          <w:p w14:paraId="3B2E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12219</w:t>
            </w:r>
          </w:p>
        </w:tc>
        <w:tc>
          <w:tcPr>
            <w:tcW w:w="1035" w:type="dxa"/>
            <w:shd w:val="clear" w:color="auto" w:fill="FFFFFF"/>
            <w:noWrap w:val="0"/>
            <w:vAlign w:val="center"/>
          </w:tcPr>
          <w:p w14:paraId="41681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9.30 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72616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12019 </w:t>
            </w:r>
          </w:p>
        </w:tc>
        <w:tc>
          <w:tcPr>
            <w:tcW w:w="1225" w:type="dxa"/>
            <w:shd w:val="clear" w:color="auto" w:fill="FFFFFF"/>
            <w:noWrap w:val="0"/>
            <w:vAlign w:val="center"/>
          </w:tcPr>
          <w:p w14:paraId="4F260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12319</w:t>
            </w:r>
          </w:p>
        </w:tc>
        <w:tc>
          <w:tcPr>
            <w:tcW w:w="1200" w:type="dxa"/>
            <w:shd w:val="clear" w:color="auto" w:fill="FFFFFF"/>
            <w:noWrap w:val="0"/>
            <w:vAlign w:val="center"/>
          </w:tcPr>
          <w:p w14:paraId="3B142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9.38 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19B9E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12119 </w:t>
            </w:r>
          </w:p>
        </w:tc>
        <w:tc>
          <w:tcPr>
            <w:tcW w:w="1154" w:type="dxa"/>
            <w:shd w:val="clear" w:color="auto" w:fill="FFFFFF"/>
            <w:noWrap w:val="0"/>
            <w:vAlign w:val="center"/>
          </w:tcPr>
          <w:p w14:paraId="0D81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12419</w:t>
            </w:r>
          </w:p>
        </w:tc>
        <w:tc>
          <w:tcPr>
            <w:tcW w:w="1133" w:type="dxa"/>
            <w:shd w:val="clear" w:color="auto" w:fill="FFFFFF"/>
            <w:noWrap w:val="0"/>
            <w:vAlign w:val="center"/>
          </w:tcPr>
          <w:p w14:paraId="70144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9.45 </w:t>
            </w:r>
          </w:p>
        </w:tc>
      </w:tr>
      <w:tr w14:paraId="497A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2750" w:type="dxa"/>
            <w:shd w:val="clear" w:color="auto" w:fill="FFFFFF"/>
            <w:noWrap w:val="0"/>
            <w:vAlign w:val="center"/>
          </w:tcPr>
          <w:p w14:paraId="5A8B5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0﹟车用柴油（国Ⅵ）</w:t>
            </w: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55487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9555 </w:t>
            </w:r>
          </w:p>
        </w:tc>
        <w:tc>
          <w:tcPr>
            <w:tcW w:w="1155" w:type="dxa"/>
            <w:shd w:val="clear" w:color="auto" w:fill="FFFFFF"/>
            <w:noWrap w:val="0"/>
            <w:vAlign w:val="center"/>
          </w:tcPr>
          <w:p w14:paraId="484E7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9855 </w:t>
            </w:r>
          </w:p>
        </w:tc>
        <w:tc>
          <w:tcPr>
            <w:tcW w:w="1035" w:type="dxa"/>
            <w:shd w:val="clear" w:color="auto" w:fill="FFFFFF"/>
            <w:noWrap w:val="0"/>
            <w:vAlign w:val="center"/>
          </w:tcPr>
          <w:p w14:paraId="25355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8.34 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7A627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9655 </w:t>
            </w:r>
          </w:p>
        </w:tc>
        <w:tc>
          <w:tcPr>
            <w:tcW w:w="1225" w:type="dxa"/>
            <w:shd w:val="clear" w:color="auto" w:fill="FFFFFF"/>
            <w:noWrap w:val="0"/>
            <w:vAlign w:val="center"/>
          </w:tcPr>
          <w:p w14:paraId="28AE8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9955</w:t>
            </w:r>
          </w:p>
        </w:tc>
        <w:tc>
          <w:tcPr>
            <w:tcW w:w="1200" w:type="dxa"/>
            <w:shd w:val="clear" w:color="auto" w:fill="FFFFFF"/>
            <w:noWrap w:val="0"/>
            <w:vAlign w:val="center"/>
          </w:tcPr>
          <w:p w14:paraId="11456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8.42 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21EF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9755 </w:t>
            </w:r>
          </w:p>
        </w:tc>
        <w:tc>
          <w:tcPr>
            <w:tcW w:w="1154" w:type="dxa"/>
            <w:shd w:val="clear" w:color="auto" w:fill="FFFFFF"/>
            <w:noWrap w:val="0"/>
            <w:vAlign w:val="center"/>
          </w:tcPr>
          <w:p w14:paraId="2567E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10055</w:t>
            </w:r>
          </w:p>
        </w:tc>
        <w:tc>
          <w:tcPr>
            <w:tcW w:w="1133" w:type="dxa"/>
            <w:shd w:val="clear" w:color="auto" w:fill="FFFFFF"/>
            <w:noWrap w:val="0"/>
            <w:vAlign w:val="center"/>
          </w:tcPr>
          <w:p w14:paraId="30ACF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8.51 </w:t>
            </w:r>
          </w:p>
        </w:tc>
      </w:tr>
      <w:tr w14:paraId="32BE0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2750" w:type="dxa"/>
            <w:shd w:val="clear" w:color="auto" w:fill="FFFFFF"/>
            <w:noWrap w:val="0"/>
            <w:vAlign w:val="center"/>
          </w:tcPr>
          <w:p w14:paraId="0A164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﹣10﹟车用柴油（国Ⅵ）</w:t>
            </w: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4A1C3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10146 </w:t>
            </w:r>
          </w:p>
        </w:tc>
        <w:tc>
          <w:tcPr>
            <w:tcW w:w="1155" w:type="dxa"/>
            <w:shd w:val="clear" w:color="auto" w:fill="FFFFFF"/>
            <w:noWrap w:val="0"/>
            <w:vAlign w:val="center"/>
          </w:tcPr>
          <w:p w14:paraId="40C18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10446</w:t>
            </w:r>
          </w:p>
        </w:tc>
        <w:tc>
          <w:tcPr>
            <w:tcW w:w="1035" w:type="dxa"/>
            <w:shd w:val="clear" w:color="auto" w:fill="FFFFFF"/>
            <w:noWrap w:val="0"/>
            <w:vAlign w:val="center"/>
          </w:tcPr>
          <w:p w14:paraId="359BC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8.84 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0D748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10246 </w:t>
            </w:r>
          </w:p>
        </w:tc>
        <w:tc>
          <w:tcPr>
            <w:tcW w:w="1225" w:type="dxa"/>
            <w:shd w:val="clear" w:color="auto" w:fill="FFFFFF"/>
            <w:noWrap w:val="0"/>
            <w:vAlign w:val="center"/>
          </w:tcPr>
          <w:p w14:paraId="4980B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10546</w:t>
            </w:r>
          </w:p>
        </w:tc>
        <w:tc>
          <w:tcPr>
            <w:tcW w:w="1200" w:type="dxa"/>
            <w:shd w:val="clear" w:color="auto" w:fill="FFFFFF"/>
            <w:noWrap w:val="0"/>
            <w:vAlign w:val="center"/>
          </w:tcPr>
          <w:p w14:paraId="4CFDF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8.92 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431D3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10346 </w:t>
            </w:r>
          </w:p>
        </w:tc>
        <w:tc>
          <w:tcPr>
            <w:tcW w:w="1154" w:type="dxa"/>
            <w:shd w:val="clear" w:color="auto" w:fill="FFFFFF"/>
            <w:noWrap w:val="0"/>
            <w:vAlign w:val="center"/>
          </w:tcPr>
          <w:p w14:paraId="065CB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10646</w:t>
            </w:r>
          </w:p>
        </w:tc>
        <w:tc>
          <w:tcPr>
            <w:tcW w:w="1133" w:type="dxa"/>
            <w:shd w:val="clear" w:color="auto" w:fill="FFFFFF"/>
            <w:noWrap w:val="0"/>
            <w:vAlign w:val="center"/>
          </w:tcPr>
          <w:p w14:paraId="61A2D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9.01 </w:t>
            </w:r>
          </w:p>
        </w:tc>
      </w:tr>
      <w:tr w14:paraId="4CD7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2750" w:type="dxa"/>
            <w:shd w:val="clear" w:color="auto" w:fill="FFFFFF"/>
            <w:noWrap w:val="0"/>
            <w:vAlign w:val="center"/>
          </w:tcPr>
          <w:p w14:paraId="6ECAD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﹣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highlight w:val="none"/>
                <w:lang w:bidi="ar"/>
              </w:rPr>
              <w:t>0﹟车用柴油（国Ⅵ）</w:t>
            </w:r>
          </w:p>
        </w:tc>
        <w:tc>
          <w:tcPr>
            <w:tcW w:w="930" w:type="dxa"/>
            <w:shd w:val="clear" w:color="auto" w:fill="FFFFFF"/>
            <w:noWrap w:val="0"/>
            <w:vAlign w:val="center"/>
          </w:tcPr>
          <w:p w14:paraId="68175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10639 </w:t>
            </w:r>
          </w:p>
        </w:tc>
        <w:tc>
          <w:tcPr>
            <w:tcW w:w="1155" w:type="dxa"/>
            <w:shd w:val="clear" w:color="auto" w:fill="FFFFFF"/>
            <w:noWrap w:val="0"/>
            <w:vAlign w:val="center"/>
          </w:tcPr>
          <w:p w14:paraId="62D12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10939</w:t>
            </w:r>
          </w:p>
        </w:tc>
        <w:tc>
          <w:tcPr>
            <w:tcW w:w="1035" w:type="dxa"/>
            <w:shd w:val="clear" w:color="auto" w:fill="FFFFFF"/>
            <w:noWrap w:val="0"/>
            <w:vAlign w:val="center"/>
          </w:tcPr>
          <w:p w14:paraId="31EBF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9.16 </w:t>
            </w:r>
          </w:p>
        </w:tc>
        <w:tc>
          <w:tcPr>
            <w:tcW w:w="960" w:type="dxa"/>
            <w:shd w:val="clear" w:color="auto" w:fill="FFFFFF"/>
            <w:noWrap w:val="0"/>
            <w:vAlign w:val="center"/>
          </w:tcPr>
          <w:p w14:paraId="66F93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10739 </w:t>
            </w:r>
          </w:p>
        </w:tc>
        <w:tc>
          <w:tcPr>
            <w:tcW w:w="1225" w:type="dxa"/>
            <w:shd w:val="clear" w:color="auto" w:fill="FFFFFF"/>
            <w:noWrap w:val="0"/>
            <w:vAlign w:val="center"/>
          </w:tcPr>
          <w:p w14:paraId="40F6C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11039</w:t>
            </w:r>
          </w:p>
        </w:tc>
        <w:tc>
          <w:tcPr>
            <w:tcW w:w="1200" w:type="dxa"/>
            <w:shd w:val="clear" w:color="auto" w:fill="FFFFFF"/>
            <w:noWrap w:val="0"/>
            <w:vAlign w:val="center"/>
          </w:tcPr>
          <w:p w14:paraId="79E84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9.25 </w:t>
            </w:r>
          </w:p>
        </w:tc>
        <w:tc>
          <w:tcPr>
            <w:tcW w:w="886" w:type="dxa"/>
            <w:shd w:val="clear" w:color="auto" w:fill="FFFFFF"/>
            <w:noWrap w:val="0"/>
            <w:vAlign w:val="center"/>
          </w:tcPr>
          <w:p w14:paraId="4AC90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10839 </w:t>
            </w:r>
          </w:p>
        </w:tc>
        <w:tc>
          <w:tcPr>
            <w:tcW w:w="1154" w:type="dxa"/>
            <w:shd w:val="clear" w:color="auto" w:fill="FFFFFF"/>
            <w:noWrap w:val="0"/>
            <w:vAlign w:val="center"/>
          </w:tcPr>
          <w:p w14:paraId="53674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11139</w:t>
            </w:r>
          </w:p>
        </w:tc>
        <w:tc>
          <w:tcPr>
            <w:tcW w:w="1133" w:type="dxa"/>
            <w:shd w:val="clear" w:color="auto" w:fill="FFFFFF"/>
            <w:noWrap w:val="0"/>
            <w:vAlign w:val="center"/>
          </w:tcPr>
          <w:p w14:paraId="6888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微软雅黑" w:cs="Times New Roman"/>
                <w:b w:val="0"/>
                <w:bCs w:val="0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9.33 </w:t>
            </w:r>
          </w:p>
        </w:tc>
      </w:tr>
    </w:tbl>
    <w:p w14:paraId="6A461F66">
      <w:pPr>
        <w:spacing w:line="320" w:lineRule="exact"/>
        <w:ind w:firstLine="480" w:firstLineChars="200"/>
        <w:rPr>
          <w:rFonts w:hint="default" w:ascii="Times New Roman" w:hAnsi="Times New Roman" w:cs="Times New Roman"/>
          <w:color w:val="000000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>注：1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val="en"/>
        </w:rPr>
        <w:t xml:space="preserve">. </w:t>
      </w:r>
      <w:r>
        <w:rPr>
          <w:rFonts w:hint="default" w:ascii="Times New Roman" w:hAnsi="Times New Roman" w:cs="Times New Roman"/>
          <w:color w:val="000000"/>
          <w:sz w:val="24"/>
          <w:highlight w:val="none"/>
        </w:rPr>
        <w:t>表中价格包含消费税、增值税以及城建税和教育费附加。</w:t>
      </w:r>
    </w:p>
    <w:p w14:paraId="325EC4A1">
      <w:pPr>
        <w:numPr>
          <w:ilvl w:val="0"/>
          <w:numId w:val="1"/>
        </w:numPr>
        <w:spacing w:line="320" w:lineRule="exact"/>
        <w:rPr>
          <w:rFonts w:hint="default" w:ascii="Times New Roman" w:hAnsi="Times New Roman" w:cs="Times New Roman"/>
          <w:color w:val="000000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>表中汽油和柴油价格为符合第六阶段强制性国家标准VI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eastAsia="zh-CN"/>
        </w:rPr>
        <w:t>（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val="en-US" w:eastAsia="zh-CN"/>
        </w:rPr>
        <w:t>B</w:t>
      </w:r>
      <w:r>
        <w:rPr>
          <w:rFonts w:hint="default" w:ascii="Times New Roman" w:hAnsi="Times New Roman" w:cs="Times New Roman"/>
          <w:color w:val="000000"/>
          <w:sz w:val="24"/>
          <w:highlight w:val="none"/>
          <w:lang w:eastAsia="zh-CN"/>
        </w:rPr>
        <w:t>）</w:t>
      </w:r>
      <w:r>
        <w:rPr>
          <w:rFonts w:hint="default" w:ascii="Times New Roman" w:hAnsi="Times New Roman" w:cs="Times New Roman"/>
          <w:color w:val="000000"/>
          <w:sz w:val="24"/>
          <w:highlight w:val="none"/>
        </w:rPr>
        <w:t>车用汽油和VI车用柴油价格。</w:t>
      </w:r>
    </w:p>
    <w:p w14:paraId="5565C102">
      <w:pPr>
        <w:numPr>
          <w:ilvl w:val="0"/>
          <w:numId w:val="1"/>
        </w:numPr>
        <w:spacing w:line="320" w:lineRule="exact"/>
        <w:rPr>
          <w:rFonts w:hint="default" w:ascii="Times New Roman" w:hAnsi="Times New Roman" w:cs="Times New Roman"/>
          <w:color w:val="000000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>普通柴油（标准品）最高零售价格按照同阶段标准的车用柴油价格确定。</w:t>
      </w:r>
    </w:p>
    <w:p w14:paraId="4B57356C">
      <w:pPr>
        <w:spacing w:line="320" w:lineRule="exact"/>
        <w:ind w:firstLine="950" w:firstLineChars="396"/>
        <w:rPr>
          <w:rFonts w:hint="default" w:ascii="Times New Roman" w:hAnsi="Times New Roman" w:cs="Times New Roman"/>
          <w:color w:val="000000"/>
          <w:sz w:val="24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>4．阿坝州所属汶川县、理县、茂县以及凉山州、攀枝花市行政区域为二价区，阿坝州除汶川县、理县、茂县以</w:t>
      </w:r>
    </w:p>
    <w:p w14:paraId="79F7743D">
      <w:pPr>
        <w:spacing w:line="320" w:lineRule="exact"/>
        <w:ind w:firstLine="1296" w:firstLineChars="540"/>
        <w:rPr>
          <w:rFonts w:hint="default" w:ascii="Times New Roman" w:hAnsi="Times New Roman" w:eastAsia="方正仿宋简体" w:cs="Times New Roman"/>
          <w:color w:val="000000"/>
        </w:rPr>
        <w:sectPr>
          <w:footerReference r:id="rId3" w:type="default"/>
          <w:footerReference r:id="rId4" w:type="even"/>
          <w:pgSz w:w="16838" w:h="11906" w:orient="landscape"/>
          <w:pgMar w:top="1587" w:right="2098" w:bottom="1474" w:left="2098" w:header="851" w:footer="1871" w:gutter="0"/>
          <w:pgNumType w:fmt="decimal"/>
          <w:cols w:space="720" w:num="1"/>
          <w:rtlGutter w:val="0"/>
          <w:docGrid w:type="linesAndChars" w:linePitch="312" w:charSpace="0"/>
        </w:sectPr>
      </w:pPr>
      <w:r>
        <w:rPr>
          <w:rFonts w:hint="default" w:ascii="Times New Roman" w:hAnsi="Times New Roman" w:cs="Times New Roman"/>
          <w:color w:val="000000"/>
          <w:sz w:val="24"/>
          <w:highlight w:val="none"/>
        </w:rPr>
        <w:t xml:space="preserve">外的其余10个县以及甘孜州行政区域为三价区，二三价区以外的其他市行政区域为一价区。  </w:t>
      </w:r>
      <w:bookmarkStart w:id="1" w:name="_GoBack"/>
      <w:bookmarkEnd w:id="1"/>
    </w:p>
    <w:bookmarkEnd w:id="0"/>
    <w:p w14:paraId="717583A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仿宋简体">
    <w:altName w:val="Arial Unicode MS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C9881">
    <w:pPr>
      <w:pStyle w:val="2"/>
      <w:ind w:right="360"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F32C4">
                          <w:pPr>
                            <w:pStyle w:val="2"/>
                            <w:rPr>
                              <w:rStyle w:val="5"/>
                              <w:rFonts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5"/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5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5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5"/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D6F32C4">
                    <w:pPr>
                      <w:pStyle w:val="2"/>
                      <w:rPr>
                        <w:rStyle w:val="5"/>
                        <w:rFonts w:hint="eastAsia"/>
                        <w:sz w:val="28"/>
                        <w:szCs w:val="28"/>
                      </w:rPr>
                    </w:pPr>
                    <w:r>
                      <w:rPr>
                        <w:rStyle w:val="5"/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5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5"/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5"/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546F1">
    <w:pPr>
      <w:pStyle w:val="2"/>
      <w:framePr w:wrap="around" w:vAnchor="text" w:hAnchor="margin" w:xAlign="outside" w:y="1"/>
      <w:rPr>
        <w:rStyle w:val="5"/>
      </w:rPr>
    </w:pPr>
    <w:r>
      <w:fldChar w:fldCharType="begin"/>
    </w:r>
    <w:r>
      <w:rPr>
        <w:rStyle w:val="5"/>
      </w:rPr>
      <w:instrText xml:space="preserve">PAGE  </w:instrText>
    </w:r>
    <w:r>
      <w:fldChar w:fldCharType="separate"/>
    </w:r>
    <w:r>
      <w:rPr>
        <w:rStyle w:val="5"/>
      </w:rPr>
      <w:t>6</w:t>
    </w:r>
    <w:r>
      <w:fldChar w:fldCharType="end"/>
    </w:r>
  </w:p>
  <w:p w14:paraId="589986E3">
    <w:pPr>
      <w:pStyle w:val="2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singleLevel"/>
    <w:tmpl w:val="00000004"/>
    <w:lvl w:ilvl="0" w:tentative="0">
      <w:start w:val="2"/>
      <w:numFmt w:val="decimal"/>
      <w:suff w:val="space"/>
      <w:lvlText w:val="%1."/>
      <w:lvlJc w:val="left"/>
      <w:pPr>
        <w:ind w:left="9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74C02"/>
    <w:rsid w:val="0DA7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  <w:style w:type="paragraph" w:customStyle="1" w:styleId="6">
    <w:name w:val=" Char"/>
    <w:basedOn w:val="1"/>
    <w:qFormat/>
    <w:uiPriority w:val="0"/>
    <w:rPr>
      <w:rFonts w:eastAsia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2026-09-24T09:27:00Z</dcterms:created>
  <dc:creator>鲍恩</dc:creator>
  <cp:lastModifiedBy>鲍恩</cp:lastModifiedBy>
  <dcterms:modified xsi:type="dcterms:W3CDTF">2026-09-24T09:27:57Z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2AFE62C1327A409A9F427BB6C6B7080C_11</vt:lpwstr>
  </property>
  <property fmtid="{D5CDD505-2E9C-101B-9397-08002B2CF9AE}" pid="4" name="KSOTemplateDocerSaveRecord">
    <vt:lpwstr>eyJoZGlkIjoiNTdkNWNlZTEwYmQ4NmY1YWI4MmJmNGU0YWVhNzViZGQiLCJ1c2VySWQiOiI0NjA2NDI3NzcifQ==</vt:lpwstr>
  </property>
</Properties>
</file>