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600"/>
        <w:jc w:val="center"/>
      </w:pPr>
      <w:r/>
    </w:p>
    <w:p>
      <w:pPr>
        <w:spacing w:after="80"/>
        <w:jc w:val="center"/>
      </w:pPr>
      <w:r>
        <w:rPr>
          <w:rFonts w:ascii="Calibri" w:hAnsi="Calibri" w:eastAsia="Calibri"/>
          <w:b/>
          <w:i w:val="0"/>
          <w:color w:val="1F3150"/>
          <w:sz w:val="44"/>
        </w:rPr>
        <w:t>LIDERAZGO DE EQUIPOS</w:t>
      </w:r>
    </w:p>
    <w:p>
      <w:pPr>
        <w:spacing w:after="40"/>
        <w:jc w:val="center"/>
      </w:pPr>
      <w:r>
        <w:rPr>
          <w:rFonts w:ascii="Calibri" w:hAnsi="Calibri" w:eastAsia="Calibri"/>
          <w:b w:val="0"/>
          <w:i w:val="0"/>
          <w:sz w:val="28"/>
        </w:rPr>
        <w:t>Acta de la discusión integradora de equipo</w:t>
      </w:r>
    </w:p>
    <w:p>
      <w:pPr>
        <w:spacing w:after="920"/>
        <w:jc w:val="center"/>
      </w:pPr>
      <w:r>
        <w:rPr>
          <w:rFonts w:ascii="Calibri" w:hAnsi="Calibri" w:eastAsia="Calibri"/>
          <w:b w:val="0"/>
          <w:i w:val="0"/>
          <w:color w:val="555555"/>
          <w:sz w:val="24"/>
        </w:rPr>
        <w:t>Módulo 3 · Evaluación Sumativa 6 · Grupo 3</w:t>
      </w:r>
    </w:p>
    <w:p>
      <w:pPr>
        <w:spacing w:after="40"/>
        <w:jc w:val="center"/>
      </w:pPr>
      <w:r>
        <w:rPr>
          <w:rFonts w:ascii="Calibri" w:hAnsi="Calibri" w:eastAsia="Calibri"/>
          <w:b/>
          <w:i w:val="0"/>
          <w:sz w:val="22"/>
        </w:rPr>
        <w:t xml:space="preserve">Integrantes: </w:t>
      </w:r>
      <w:r>
        <w:rPr>
          <w:rFonts w:ascii="Calibri" w:hAnsi="Calibri" w:eastAsia="Calibri"/>
          <w:b w:val="0"/>
          <w:i w:val="0"/>
          <w:sz w:val="22"/>
        </w:rPr>
        <w:t>Benjamín Peña Diaz</w:t>
      </w:r>
    </w:p>
    <w:p>
      <w:pPr>
        <w:spacing w:after="40"/>
        <w:jc w:val="center"/>
      </w:pPr>
      <w:r>
        <w:rPr>
          <w:rFonts w:ascii="Calibri" w:hAnsi="Calibri" w:eastAsia="Calibri"/>
          <w:b w:val="0"/>
          <w:i w:val="0"/>
          <w:sz w:val="22"/>
        </w:rPr>
        <w:t>Cristóbal Flores Villegas</w:t>
      </w:r>
    </w:p>
    <w:p>
      <w:pPr>
        <w:spacing w:after="40"/>
        <w:jc w:val="center"/>
      </w:pPr>
      <w:r>
        <w:rPr>
          <w:rFonts w:ascii="Calibri" w:hAnsi="Calibri" w:eastAsia="Calibri"/>
          <w:b w:val="0"/>
          <w:i w:val="0"/>
          <w:sz w:val="22"/>
        </w:rPr>
        <w:t>Cristóbal Hachim Sánchez</w:t>
      </w:r>
    </w:p>
    <w:p>
      <w:pPr>
        <w:spacing w:after="40"/>
        <w:jc w:val="center"/>
      </w:pPr>
      <w:r>
        <w:rPr>
          <w:rFonts w:ascii="Calibri" w:hAnsi="Calibri" w:eastAsia="Calibri"/>
          <w:b w:val="0"/>
          <w:i w:val="0"/>
          <w:sz w:val="22"/>
        </w:rPr>
        <w:t>Cristopher Arredondo Canchis</w:t>
      </w:r>
    </w:p>
    <w:p>
      <w:pPr>
        <w:spacing w:after="40"/>
        <w:jc w:val="center"/>
      </w:pPr>
      <w:r>
        <w:rPr>
          <w:rFonts w:ascii="Calibri" w:hAnsi="Calibri" w:eastAsia="Calibri"/>
          <w:b w:val="0"/>
          <w:i w:val="0"/>
          <w:sz w:val="22"/>
        </w:rPr>
        <w:t>Francisco Morales Díaz</w:t>
      </w:r>
    </w:p>
    <w:p>
      <w:pPr>
        <w:spacing w:after="200"/>
      </w:pPr>
    </w:p>
    <w:p>
      <w:pPr>
        <w:spacing w:after="40"/>
        <w:jc w:val="center"/>
      </w:pPr>
      <w:r>
        <w:rPr>
          <w:rFonts w:ascii="Calibri" w:hAnsi="Calibri" w:eastAsia="Calibri"/>
          <w:b/>
          <w:i w:val="0"/>
          <w:sz w:val="22"/>
        </w:rPr>
        <w:t xml:space="preserve">Asignatura: </w:t>
      </w:r>
      <w:r>
        <w:rPr>
          <w:rFonts w:ascii="Calibri" w:hAnsi="Calibri" w:eastAsia="Calibri"/>
          <w:b w:val="0"/>
          <w:i w:val="0"/>
          <w:sz w:val="22"/>
        </w:rPr>
        <w:t>Liderando Equipos Integradores (PMG531)</w:t>
      </w:r>
    </w:p>
    <w:p>
      <w:pPr>
        <w:spacing w:after="40"/>
        <w:jc w:val="center"/>
      </w:pPr>
      <w:r>
        <w:rPr>
          <w:rFonts w:ascii="Calibri" w:hAnsi="Calibri" w:eastAsia="Calibri"/>
          <w:b/>
          <w:i w:val="0"/>
          <w:sz w:val="22"/>
        </w:rPr>
        <w:t xml:space="preserve">NRC: </w:t>
      </w:r>
      <w:r>
        <w:rPr>
          <w:rFonts w:ascii="Calibri" w:hAnsi="Calibri" w:eastAsia="Calibri"/>
          <w:b w:val="0"/>
          <w:i w:val="0"/>
          <w:sz w:val="22"/>
        </w:rPr>
        <w:t>12109 — Sección 550</w:t>
      </w:r>
    </w:p>
    <w:p>
      <w:pPr>
        <w:spacing w:after="40"/>
        <w:jc w:val="center"/>
      </w:pPr>
      <w:r>
        <w:rPr>
          <w:rFonts w:ascii="Calibri" w:hAnsi="Calibri" w:eastAsia="Calibri"/>
          <w:b/>
          <w:i w:val="0"/>
          <w:sz w:val="22"/>
        </w:rPr>
        <w:t xml:space="preserve">Docente: </w:t>
      </w:r>
      <w:r>
        <w:rPr>
          <w:rFonts w:ascii="Calibri" w:hAnsi="Calibri" w:eastAsia="Calibri"/>
          <w:b w:val="0"/>
          <w:i w:val="0"/>
          <w:sz w:val="22"/>
        </w:rPr>
        <w:t>María Jesús Céspedes</w:t>
      </w:r>
    </w:p>
    <w:p>
      <w:pPr>
        <w:spacing w:after="40"/>
        <w:jc w:val="center"/>
      </w:pPr>
      <w:r>
        <w:rPr>
          <w:rFonts w:ascii="Calibri" w:hAnsi="Calibri" w:eastAsia="Calibri"/>
          <w:b/>
          <w:i w:val="0"/>
          <w:sz w:val="22"/>
        </w:rPr>
        <w:t xml:space="preserve">Correo docente: </w:t>
      </w:r>
      <w:r>
        <w:rPr>
          <w:rFonts w:ascii="Calibri" w:hAnsi="Calibri" w:eastAsia="Calibri"/>
          <w:b w:val="0"/>
          <w:i w:val="0"/>
          <w:sz w:val="22"/>
        </w:rPr>
        <w:t>m.cespedesstuven@uandresbello.edu</w:t>
      </w:r>
    </w:p>
    <w:p>
      <w:pPr>
        <w:spacing w:after="40"/>
        <w:jc w:val="center"/>
      </w:pPr>
      <w:r>
        <w:rPr>
          <w:rFonts w:ascii="Calibri" w:hAnsi="Calibri" w:eastAsia="Calibri"/>
          <w:b/>
          <w:i w:val="0"/>
          <w:sz w:val="22"/>
        </w:rPr>
        <w:t xml:space="preserve">Fecha de entrega: </w:t>
      </w:r>
      <w:r>
        <w:rPr>
          <w:rFonts w:ascii="Calibri" w:hAnsi="Calibri" w:eastAsia="Calibri"/>
          <w:b w:val="0"/>
          <w:i w:val="0"/>
          <w:sz w:val="22"/>
        </w:rPr>
        <w:t>2 de noviembre de 2026</w:t>
      </w:r>
    </w:p>
    <w:p>
      <w:r/>
    </w:p>
    <w:p>
      <w:pPr>
        <w:keepNext/>
        <w:spacing w:before="0" w:after="120"/>
        <w:jc w:val="left"/>
      </w:pPr>
      <w:r>
        <w:rPr>
          <w:rFonts w:ascii="Calibri" w:hAnsi="Calibri" w:eastAsia="Calibri"/>
          <w:b/>
          <w:i w:val="0"/>
          <w:color w:val="1F3150"/>
          <w:sz w:val="26"/>
        </w:rPr>
        <w:t>1. Antecedentes de la sesión</w:t>
      </w:r>
    </w:p>
    <w:tbl>
      <w:tblPr>
        <w:tblStyle w:val="TableGrid"/>
        <w:tblW w:type="auto" w:w="0"/>
        <w:jc w:val="center"/>
        <w:tblLook w:firstColumn="1" w:firstRow="1" w:lastColumn="0" w:lastRow="0" w:noHBand="0" w:noVBand="1" w:val="04A0"/>
      </w:tblPr>
      <w:tblGrid>
        <w:gridCol w:w="4680"/>
        <w:gridCol w:w="4680"/>
      </w:tblGrid>
      <w:tr>
        <w:tc>
          <w:tcPr>
            <w:tcW w:type="dxa" w:w="2608"/>
            <w:shd w:val="clear" w:fill="F2F4F8"/>
          </w:tcPr>
          <w:p>
            <w:pPr>
              <w:spacing w:line="240" w:lineRule="auto" w:before="40" w:after="40"/>
              <w:jc w:val="left"/>
            </w:pPr>
            <w:r>
              <w:rPr>
                <w:rFonts w:ascii="Calibri" w:hAnsi="Calibri" w:eastAsia="Calibri"/>
                <w:b/>
                <w:i w:val="0"/>
                <w:sz w:val="20"/>
              </w:rPr>
              <w:t>Equipo</w:t>
            </w:r>
          </w:p>
        </w:tc>
        <w:tc>
          <w:tcPr>
            <w:tcW w:type="dxa" w:w="6746"/>
          </w:tcPr>
          <w:p>
            <w:pPr>
              <w:spacing w:line="240" w:lineRule="auto" w:before="40" w:after="40"/>
              <w:jc w:val="left"/>
            </w:pPr>
            <w:r>
              <w:rPr>
                <w:rFonts w:ascii="Calibri" w:hAnsi="Calibri" w:eastAsia="Calibri"/>
                <w:b w:val="0"/>
                <w:i w:val="0"/>
                <w:sz w:val="20"/>
              </w:rPr>
              <w:t>Grupo 3 — Liderando Equipos Integradores (NRC 12109, Sección 550)</w:t>
            </w:r>
          </w:p>
        </w:tc>
      </w:tr>
      <w:tr>
        <w:tc>
          <w:tcPr>
            <w:tcW w:type="dxa" w:w="2608"/>
            <w:shd w:val="clear" w:fill="F2F4F8"/>
          </w:tcPr>
          <w:p>
            <w:pPr>
              <w:spacing w:line="240" w:lineRule="auto" w:before="40" w:after="40"/>
              <w:jc w:val="left"/>
            </w:pPr>
            <w:r>
              <w:rPr>
                <w:rFonts w:ascii="Calibri" w:hAnsi="Calibri" w:eastAsia="Calibri"/>
                <w:b/>
                <w:i w:val="0"/>
                <w:sz w:val="20"/>
              </w:rPr>
              <w:t>Fecha de la sesión</w:t>
            </w:r>
          </w:p>
        </w:tc>
        <w:tc>
          <w:tcPr>
            <w:tcW w:type="dxa" w:w="6746"/>
          </w:tcPr>
          <w:p>
            <w:pPr>
              <w:spacing w:line="240" w:lineRule="auto" w:before="40" w:after="40"/>
              <w:jc w:val="left"/>
            </w:pPr>
            <w:r>
              <w:rPr>
                <w:rFonts w:ascii="Calibri" w:hAnsi="Calibri" w:eastAsia="Calibri"/>
                <w:b w:val="0"/>
                <w:i w:val="0"/>
                <w:sz w:val="20"/>
              </w:rPr>
              <w:t>29 de octubre de 2026</w:t>
            </w:r>
          </w:p>
        </w:tc>
      </w:tr>
      <w:tr>
        <w:tc>
          <w:tcPr>
            <w:tcW w:type="dxa" w:w="2608"/>
            <w:shd w:val="clear" w:fill="F2F4F8"/>
          </w:tcPr>
          <w:p>
            <w:pPr>
              <w:spacing w:line="240" w:lineRule="auto" w:before="40" w:after="40"/>
              <w:jc w:val="left"/>
            </w:pPr>
            <w:r>
              <w:rPr>
                <w:rFonts w:ascii="Calibri" w:hAnsi="Calibri" w:eastAsia="Calibri"/>
                <w:b/>
                <w:i w:val="0"/>
                <w:sz w:val="20"/>
              </w:rPr>
              <w:t>Horario y duración</w:t>
            </w:r>
          </w:p>
        </w:tc>
        <w:tc>
          <w:tcPr>
            <w:tcW w:type="dxa" w:w="6746"/>
          </w:tcPr>
          <w:p>
            <w:pPr>
              <w:spacing w:line="240" w:lineRule="auto" w:before="40" w:after="40"/>
              <w:jc w:val="left"/>
            </w:pPr>
            <w:r>
              <w:rPr>
                <w:rFonts w:ascii="Calibri" w:hAnsi="Calibri" w:eastAsia="Calibri"/>
                <w:b w:val="0"/>
                <w:i w:val="0"/>
                <w:sz w:val="20"/>
              </w:rPr>
              <w:t>19:00 a 20:25 horas (85 minutos)</w:t>
            </w:r>
          </w:p>
        </w:tc>
      </w:tr>
      <w:tr>
        <w:tc>
          <w:tcPr>
            <w:tcW w:type="dxa" w:w="2608"/>
            <w:shd w:val="clear" w:fill="F2F4F8"/>
          </w:tcPr>
          <w:p>
            <w:pPr>
              <w:spacing w:line="240" w:lineRule="auto" w:before="40" w:after="40"/>
              <w:jc w:val="left"/>
            </w:pPr>
            <w:r>
              <w:rPr>
                <w:rFonts w:ascii="Calibri" w:hAnsi="Calibri" w:eastAsia="Calibri"/>
                <w:b/>
                <w:i w:val="0"/>
                <w:sz w:val="20"/>
              </w:rPr>
              <w:t>Modalidad</w:t>
            </w:r>
          </w:p>
        </w:tc>
        <w:tc>
          <w:tcPr>
            <w:tcW w:type="dxa" w:w="6746"/>
          </w:tcPr>
          <w:p>
            <w:pPr>
              <w:spacing w:line="240" w:lineRule="auto" w:before="40" w:after="40"/>
              <w:jc w:val="left"/>
            </w:pPr>
            <w:r>
              <w:rPr>
                <w:rFonts w:ascii="Calibri" w:hAnsi="Calibri" w:eastAsia="Calibri"/>
                <w:b w:val="0"/>
                <w:i w:val="0"/>
                <w:sz w:val="20"/>
              </w:rPr>
              <w:t>Videoconferencia sincrónica</w:t>
            </w:r>
          </w:p>
        </w:tc>
      </w:tr>
      <w:tr>
        <w:tc>
          <w:tcPr>
            <w:tcW w:type="dxa" w:w="2608"/>
            <w:shd w:val="clear" w:fill="F2F4F8"/>
          </w:tcPr>
          <w:p>
            <w:pPr>
              <w:spacing w:line="240" w:lineRule="auto" w:before="40" w:after="40"/>
              <w:jc w:val="left"/>
            </w:pPr>
            <w:r>
              <w:rPr>
                <w:rFonts w:ascii="Calibri" w:hAnsi="Calibri" w:eastAsia="Calibri"/>
                <w:b/>
                <w:i w:val="0"/>
                <w:sz w:val="20"/>
              </w:rPr>
              <w:t>Participantes</w:t>
            </w:r>
          </w:p>
        </w:tc>
        <w:tc>
          <w:tcPr>
            <w:tcW w:type="dxa" w:w="6746"/>
          </w:tcPr>
          <w:p>
            <w:pPr>
              <w:spacing w:line="240" w:lineRule="auto" w:before="40" w:after="40"/>
              <w:jc w:val="left"/>
            </w:pPr>
            <w:r>
              <w:rPr>
                <w:rFonts w:ascii="Calibri" w:hAnsi="Calibri" w:eastAsia="Calibri"/>
                <w:b w:val="0"/>
                <w:i w:val="0"/>
                <w:sz w:val="20"/>
              </w:rPr>
              <w:t>Benjamín Peña Diaz, Cristóbal Flores Villegas, Cristóbal Hachim Sánchez, Cristopher Arredondo Canchis y Francisco Morales Díaz (asistencia completa)</w:t>
            </w:r>
          </w:p>
        </w:tc>
      </w:tr>
      <w:tr>
        <w:tc>
          <w:tcPr>
            <w:tcW w:type="dxa" w:w="2608"/>
            <w:shd w:val="clear" w:fill="F2F4F8"/>
          </w:tcPr>
          <w:p>
            <w:pPr>
              <w:spacing w:line="240" w:lineRule="auto" w:before="40" w:after="40"/>
              <w:jc w:val="left"/>
            </w:pPr>
            <w:r>
              <w:rPr>
                <w:rFonts w:ascii="Calibri" w:hAnsi="Calibri" w:eastAsia="Calibri"/>
                <w:b/>
                <w:i w:val="0"/>
                <w:sz w:val="20"/>
              </w:rPr>
              <w:t>Facilitación</w:t>
            </w:r>
          </w:p>
        </w:tc>
        <w:tc>
          <w:tcPr>
            <w:tcW w:type="dxa" w:w="6746"/>
          </w:tcPr>
          <w:p>
            <w:pPr>
              <w:spacing w:line="240" w:lineRule="auto" w:before="40" w:after="40"/>
              <w:jc w:val="left"/>
            </w:pPr>
            <w:r>
              <w:rPr>
                <w:rFonts w:ascii="Calibri" w:hAnsi="Calibri" w:eastAsia="Calibri"/>
                <w:b w:val="0"/>
                <w:i w:val="0"/>
                <w:sz w:val="20"/>
              </w:rPr>
              <w:t>Cristóbal Hachim Sánchez, según la rotación acordada en el Módulo 1</w:t>
            </w:r>
          </w:p>
        </w:tc>
      </w:tr>
      <w:tr>
        <w:tc>
          <w:tcPr>
            <w:tcW w:type="dxa" w:w="2608"/>
            <w:shd w:val="clear" w:fill="F2F4F8"/>
          </w:tcPr>
          <w:p>
            <w:pPr>
              <w:spacing w:line="240" w:lineRule="auto" w:before="40" w:after="40"/>
              <w:jc w:val="left"/>
            </w:pPr>
            <w:r>
              <w:rPr>
                <w:rFonts w:ascii="Calibri" w:hAnsi="Calibri" w:eastAsia="Calibri"/>
                <w:b/>
                <w:i w:val="0"/>
                <w:sz w:val="20"/>
              </w:rPr>
              <w:t>Registro del acta</w:t>
            </w:r>
          </w:p>
        </w:tc>
        <w:tc>
          <w:tcPr>
            <w:tcW w:type="dxa" w:w="6746"/>
          </w:tcPr>
          <w:p>
            <w:pPr>
              <w:spacing w:line="240" w:lineRule="auto" w:before="40" w:after="40"/>
              <w:jc w:val="left"/>
            </w:pPr>
            <w:r>
              <w:rPr>
                <w:rFonts w:ascii="Calibri" w:hAnsi="Calibri" w:eastAsia="Calibri"/>
                <w:b w:val="0"/>
                <w:i w:val="0"/>
                <w:sz w:val="20"/>
              </w:rPr>
              <w:t>Benjamín Peña Diaz</w:t>
            </w:r>
          </w:p>
        </w:tc>
      </w:tr>
    </w:tbl>
    <w:p>
      <w:pPr>
        <w:spacing w:after="0"/>
      </w:pPr>
    </w:p>
    <w:p>
      <w:pPr>
        <w:keepNext/>
        <w:spacing w:before="220" w:after="120"/>
        <w:jc w:val="left"/>
      </w:pPr>
      <w:r>
        <w:rPr>
          <w:rFonts w:ascii="Calibri" w:hAnsi="Calibri" w:eastAsia="Calibri"/>
          <w:b/>
          <w:i w:val="0"/>
          <w:color w:val="1F3150"/>
          <w:sz w:val="26"/>
        </w:rPr>
        <w:t>2. Introducción y definición de los constructos</w:t>
      </w:r>
    </w:p>
    <w:p>
      <w:pPr>
        <w:spacing w:after="120"/>
        <w:jc w:val="both"/>
      </w:pPr>
      <w:r>
        <w:rPr>
          <w:rFonts w:ascii="Calibri" w:hAnsi="Calibri" w:eastAsia="Calibri"/>
          <w:b w:val="0"/>
          <w:i w:val="0"/>
          <w:sz w:val="22"/>
        </w:rPr>
        <w:t>Este informe documenta la tercera discusión integradora del Grupo 3, correspondiente al Módulo 3 de la asignatura Liderando Equipos Integradores. El Módulo 1 se ocupó de cómo se conduce un equipo y el Módulo 2 de aquello que lo mantiene unido; este módulo examina el momento en que ambas cosas se ponen a prueba: cuando el equipo tiene que elegir.</w:t>
      </w:r>
    </w:p>
    <w:p>
      <w:pPr>
        <w:spacing w:after="120"/>
        <w:jc w:val="both"/>
      </w:pPr>
      <w:r>
        <w:rPr>
          <w:rFonts w:ascii="Calibri" w:hAnsi="Calibri" w:eastAsia="Calibri"/>
          <w:b w:val="0"/>
          <w:i w:val="0"/>
          <w:sz w:val="22"/>
        </w:rPr>
        <w:t xml:space="preserve">Los constructos provienen del capítulo 5, “Toma de decisiones”, de Keyton y Beck (2023). El primero es la propia </w:t>
      </w:r>
      <w:r>
        <w:rPr>
          <w:rFonts w:ascii="Calibri" w:hAnsi="Calibri" w:eastAsia="Calibri"/>
          <w:b/>
          <w:i w:val="0"/>
          <w:sz w:val="22"/>
        </w:rPr>
        <w:t>toma de decisiones grupal</w:t>
      </w:r>
      <w:r>
        <w:rPr>
          <w:rFonts w:ascii="Calibri" w:hAnsi="Calibri" w:eastAsia="Calibri"/>
          <w:b w:val="0"/>
          <w:i w:val="0"/>
          <w:sz w:val="22"/>
        </w:rPr>
        <w:t xml:space="preserve">, que los autores distinguen de la resolución de problemas: decidir es elegir entre alternativas, mientras que resolver un problema exige además analizarlo y diseñar una respuesta. El segundo son los </w:t>
      </w:r>
      <w:r>
        <w:rPr>
          <w:rFonts w:ascii="Calibri" w:hAnsi="Calibri" w:eastAsia="Calibri"/>
          <w:b/>
          <w:i w:val="0"/>
          <w:sz w:val="22"/>
        </w:rPr>
        <w:t>principios de decisión</w:t>
      </w:r>
      <w:r>
        <w:rPr>
          <w:rFonts w:ascii="Calibri" w:hAnsi="Calibri" w:eastAsia="Calibri"/>
          <w:b w:val="0"/>
          <w:i w:val="0"/>
          <w:sz w:val="22"/>
        </w:rPr>
        <w:t>, es decir, la regla con que el grupo da algo por decidido: el consenso, la votación por mayoría o la decisión de una autoridad, cada uno con costos y grados de compromiso distintos.</w:t>
      </w:r>
    </w:p>
    <w:p>
      <w:pPr>
        <w:spacing w:after="120"/>
        <w:jc w:val="both"/>
      </w:pPr>
      <w:r>
        <w:rPr>
          <w:rFonts w:ascii="Calibri" w:hAnsi="Calibri" w:eastAsia="Calibri"/>
          <w:b w:val="0"/>
          <w:i w:val="0"/>
          <w:sz w:val="22"/>
        </w:rPr>
        <w:t xml:space="preserve">El tercer constructo son los </w:t>
      </w:r>
      <w:r>
        <w:rPr>
          <w:rFonts w:ascii="Calibri" w:hAnsi="Calibri" w:eastAsia="Calibri"/>
          <w:b/>
          <w:i w:val="0"/>
          <w:sz w:val="22"/>
        </w:rPr>
        <w:t>procedimientos de decisión</w:t>
      </w:r>
      <w:r>
        <w:rPr>
          <w:rFonts w:ascii="Calibri" w:hAnsi="Calibri" w:eastAsia="Calibri"/>
          <w:b w:val="0"/>
          <w:i w:val="0"/>
          <w:sz w:val="22"/>
        </w:rPr>
        <w:t xml:space="preserve">, técnicas que ordenan la deliberación, como la lluvia de ideas, la técnica de grupo nominal, la jerarquización de alternativas o la agenda estándar inspirada en el pensamiento reflexivo. Los procedimientos se apoyan en la </w:t>
      </w:r>
      <w:r>
        <w:rPr>
          <w:rFonts w:ascii="Calibri" w:hAnsi="Calibri" w:eastAsia="Calibri"/>
          <w:b/>
          <w:i w:val="0"/>
          <w:sz w:val="22"/>
        </w:rPr>
        <w:t>teoría funcional</w:t>
      </w:r>
      <w:r>
        <w:rPr>
          <w:rFonts w:ascii="Calibri" w:hAnsi="Calibri" w:eastAsia="Calibri"/>
          <w:b w:val="0"/>
          <w:i w:val="0"/>
          <w:sz w:val="22"/>
        </w:rPr>
        <w:t xml:space="preserve">, según la cual la calidad de una decisión depende de que el grupo cumpla cuatro funciones: comprender el problema, fijar los criterios de una buena solución, generar alternativas y evaluar sus consecuencias positivas y negativas. El cuarto es el </w:t>
      </w:r>
      <w:r>
        <w:rPr>
          <w:rFonts w:ascii="Calibri" w:hAnsi="Calibri" w:eastAsia="Calibri"/>
          <w:b/>
          <w:i w:val="0"/>
          <w:sz w:val="22"/>
        </w:rPr>
        <w:t>pensamiento grupal</w:t>
      </w:r>
      <w:r>
        <w:rPr>
          <w:rFonts w:ascii="Calibri" w:hAnsi="Calibri" w:eastAsia="Calibri"/>
          <w:b w:val="0"/>
          <w:i w:val="0"/>
          <w:sz w:val="22"/>
        </w:rPr>
        <w:t>, la tendencia de un grupo cohesionado a privilegiar el acuerdo por sobre el análisis crítico, cuyos síntomas incluyen la ilusión de unanimidad y la autocensura.</w:t>
      </w:r>
    </w:p>
    <w:p>
      <w:pPr>
        <w:spacing w:after="120"/>
        <w:jc w:val="both"/>
      </w:pPr>
      <w:r>
        <w:rPr>
          <w:rFonts w:ascii="Calibri" w:hAnsi="Calibri" w:eastAsia="Calibri"/>
          <w:b w:val="0"/>
          <w:i w:val="0"/>
          <w:sz w:val="22"/>
        </w:rPr>
        <w:t xml:space="preserve">Los artículos del módulo incorporan otros constructos. La </w:t>
      </w:r>
      <w:r>
        <w:rPr>
          <w:rFonts w:ascii="Calibri" w:hAnsi="Calibri" w:eastAsia="Calibri"/>
          <w:b/>
          <w:i w:val="0"/>
          <w:sz w:val="22"/>
        </w:rPr>
        <w:t>gestión del conflicto</w:t>
      </w:r>
      <w:r>
        <w:rPr>
          <w:rFonts w:ascii="Calibri" w:hAnsi="Calibri" w:eastAsia="Calibri"/>
          <w:b w:val="0"/>
          <w:i w:val="0"/>
          <w:sz w:val="22"/>
        </w:rPr>
        <w:t xml:space="preserve"> se refiere a los estilos con que los integrantes enfrentan sus desacuerdos, desde integrar los intereses de las partes hasta evitar la confrontación, y la </w:t>
      </w:r>
      <w:r>
        <w:rPr>
          <w:rFonts w:ascii="Calibri" w:hAnsi="Calibri" w:eastAsia="Calibri"/>
          <w:b/>
          <w:i w:val="0"/>
          <w:sz w:val="22"/>
        </w:rPr>
        <w:t>coordinación del equipo</w:t>
      </w:r>
      <w:r>
        <w:rPr>
          <w:rFonts w:ascii="Calibri" w:hAnsi="Calibri" w:eastAsia="Calibri"/>
          <w:b w:val="0"/>
          <w:i w:val="0"/>
          <w:sz w:val="22"/>
        </w:rPr>
        <w:t xml:space="preserve"> a la sincronización efectiva de las contribuciones individuales. Los </w:t>
      </w:r>
      <w:r>
        <w:rPr>
          <w:rFonts w:ascii="Calibri" w:hAnsi="Calibri" w:eastAsia="Calibri"/>
          <w:b/>
          <w:i w:val="0"/>
          <w:sz w:val="22"/>
        </w:rPr>
        <w:t>proyectos temporales multiculturales</w:t>
      </w:r>
      <w:r>
        <w:rPr>
          <w:rFonts w:ascii="Calibri" w:hAnsi="Calibri" w:eastAsia="Calibri"/>
          <w:b w:val="0"/>
          <w:i w:val="0"/>
          <w:sz w:val="22"/>
        </w:rPr>
        <w:t xml:space="preserve"> son equipos de duración acotada formados por personas de distintos orígenes. Las </w:t>
      </w:r>
      <w:r>
        <w:rPr>
          <w:rFonts w:ascii="Calibri" w:hAnsi="Calibri" w:eastAsia="Calibri"/>
          <w:b/>
          <w:i w:val="0"/>
          <w:sz w:val="22"/>
        </w:rPr>
        <w:t>palancas del equipo digital</w:t>
      </w:r>
      <w:r>
        <w:rPr>
          <w:rFonts w:ascii="Calibri" w:hAnsi="Calibri" w:eastAsia="Calibri"/>
          <w:b w:val="0"/>
          <w:i w:val="0"/>
          <w:sz w:val="22"/>
        </w:rPr>
        <w:t xml:space="preserve"> son las decisiones de diseño que vuelven innovador a un equipo de proyecto. Por último, </w:t>
      </w:r>
      <w:r>
        <w:rPr>
          <w:rFonts w:ascii="Calibri" w:hAnsi="Calibri" w:eastAsia="Calibri"/>
          <w:b/>
          <w:i w:val="0"/>
          <w:sz w:val="22"/>
        </w:rPr>
        <w:t>Scrum</w:t>
      </w:r>
      <w:r>
        <w:rPr>
          <w:rFonts w:ascii="Calibri" w:hAnsi="Calibri" w:eastAsia="Calibri"/>
          <w:b w:val="0"/>
          <w:i w:val="0"/>
          <w:sz w:val="22"/>
        </w:rPr>
        <w:t xml:space="preserve"> es un marco ágil que organiza el trabajo en ciclos breves llamados </w:t>
      </w:r>
      <w:r>
        <w:rPr>
          <w:rFonts w:ascii="Calibri" w:hAnsi="Calibri" w:eastAsia="Calibri"/>
          <w:b w:val="0"/>
          <w:i/>
          <w:sz w:val="22"/>
        </w:rPr>
        <w:t>sprints</w:t>
      </w:r>
      <w:r>
        <w:rPr>
          <w:rFonts w:ascii="Calibri" w:hAnsi="Calibri" w:eastAsia="Calibri"/>
          <w:b w:val="0"/>
          <w:i w:val="0"/>
          <w:sz w:val="22"/>
        </w:rPr>
        <w:t>, con reuniones diarias de seguimiento, demostraciones al cierre de cada ciclo y retrospectivas.</w:t>
      </w:r>
    </w:p>
    <w:p>
      <w:pPr>
        <w:keepNext/>
        <w:spacing w:before="220" w:after="120"/>
        <w:jc w:val="left"/>
      </w:pPr>
      <w:r>
        <w:rPr>
          <w:rFonts w:ascii="Calibri" w:hAnsi="Calibri" w:eastAsia="Calibri"/>
          <w:b/>
          <w:i w:val="0"/>
          <w:color w:val="1F3150"/>
          <w:sz w:val="26"/>
        </w:rPr>
        <w:t>3. Síntesis de las lecturas y los artículos de investigación</w:t>
      </w:r>
    </w:p>
    <w:p>
      <w:pPr>
        <w:spacing w:after="120"/>
        <w:jc w:val="both"/>
      </w:pPr>
      <w:r>
        <w:rPr>
          <w:rFonts w:ascii="Calibri" w:hAnsi="Calibri" w:eastAsia="Calibri"/>
          <w:b/>
          <w:i w:val="0"/>
          <w:sz w:val="22"/>
        </w:rPr>
        <w:t>Keyton y Beck (2023), capítulo 5: “Toma de decisiones”.</w:t>
      </w:r>
      <w:r>
        <w:rPr>
          <w:rFonts w:ascii="Calibri" w:hAnsi="Calibri" w:eastAsia="Calibri"/>
          <w:b w:val="0"/>
          <w:i w:val="0"/>
          <w:sz w:val="22"/>
        </w:rPr>
        <w:t xml:space="preserve"> Su propósito es explicar cómo los grupos llegan a decisiones de calidad y qué procedimientos les ayudan a lograrlo. Es un capítulo teórico de síntesis que integra investigación sobre comunicación grupal con casos aplicados. Sus planteamientos centrales son que una buena decisión depende más del proceso de comunicación que de la capacidad individual de los integrantes; que ningún principio de decisión es superior en todos los casos, sino adecuado a la importancia de la decisión y al compromiso que se necesita; y que la cohesión, sin procedimientos que habiliten el desacuerdo, puede derivar en pensamiento grupal.</w:t>
      </w:r>
    </w:p>
    <w:p>
      <w:pPr>
        <w:spacing w:after="120"/>
        <w:jc w:val="both"/>
      </w:pPr>
      <w:r>
        <w:rPr>
          <w:rFonts w:ascii="Calibri" w:hAnsi="Calibri" w:eastAsia="Calibri"/>
          <w:b/>
          <w:i w:val="0"/>
          <w:sz w:val="22"/>
        </w:rPr>
        <w:t>Tabassi, Abdullah y Bryde (2019).</w:t>
      </w:r>
      <w:r>
        <w:rPr>
          <w:rFonts w:ascii="Calibri" w:hAnsi="Calibri" w:eastAsia="Calibri"/>
          <w:b w:val="0"/>
          <w:i w:val="0"/>
          <w:sz w:val="22"/>
        </w:rPr>
        <w:t xml:space="preserve"> El objetivo fue comprender cómo el estilo de gestión del conflicto se relaciona con la coordinación y el desempeño de equipos de proyecto multiculturales. El diseño es un estudio cuantitativo con datos anidados de 126 líderes o supervisores y 378 integrantes de proyectos multiculturales de la industria de la construcción y la coordinación como variable mediadora. El hallazgo principal contradice la investigación previa en otros contextos: en proyectos temporales multiculturales, el estilo de evitar el conflicto puede tener un efecto positivo en el desempeño, porque contribuye a preservar la coordinación entre personas que trabajan juntas por poco tiempo.</w:t>
      </w:r>
    </w:p>
    <w:p>
      <w:pPr>
        <w:spacing w:after="120"/>
        <w:jc w:val="both"/>
      </w:pPr>
      <w:r>
        <w:rPr>
          <w:rFonts w:ascii="Calibri" w:hAnsi="Calibri" w:eastAsia="Calibri"/>
          <w:b/>
          <w:i w:val="0"/>
          <w:sz w:val="22"/>
        </w:rPr>
        <w:t>Guinan, Parise y Langowitz (2019).</w:t>
      </w:r>
      <w:r>
        <w:rPr>
          <w:rFonts w:ascii="Calibri" w:hAnsi="Calibri" w:eastAsia="Calibri"/>
          <w:b w:val="0"/>
          <w:i w:val="0"/>
          <w:sz w:val="22"/>
        </w:rPr>
        <w:t xml:space="preserve"> El estudio busca identificar qué hace innovador a un equipo de proyecto digital, más allá de los métodos ágiles que suele estudiar la literatura. Su diseño es cualitativo y multinivel: abarca las áreas de tecnología de 60 empresas e incluye trabajo de campo en cinco de ellas, con más de 130 entrevistas semiestructuradas a profesionales de tecnología. Los autores identifican cuatro palancas: una composición del equipo diversa y deliberada, el establecimiento iterativo de metas, el aprendizaje continuo y la gestión del talento.</w:t>
      </w:r>
    </w:p>
    <w:p>
      <w:pPr>
        <w:spacing w:after="120"/>
        <w:jc w:val="both"/>
      </w:pPr>
      <w:r>
        <w:rPr>
          <w:rFonts w:ascii="Calibri" w:hAnsi="Calibri" w:eastAsia="Calibri"/>
          <w:b/>
          <w:i w:val="0"/>
          <w:sz w:val="22"/>
        </w:rPr>
        <w:t>Hidalgo (2019).</w:t>
      </w:r>
      <w:r>
        <w:rPr>
          <w:rFonts w:ascii="Calibri" w:hAnsi="Calibri" w:eastAsia="Calibri"/>
          <w:b w:val="0"/>
          <w:i w:val="0"/>
          <w:sz w:val="22"/>
        </w:rPr>
        <w:t xml:space="preserve"> El propósito fue evaluar si los principios y herramientas de Scrum, nacidos en el desarrollo de software, pueden apoyar la coordinación de proyectos de investigación colaborativa. Es un estudio de caso de un centro de investigación distribuido dedicado a evaluar políticas públicas, basado en entrevistas a 17 investigadores, observación participante y análisis de la actividad en línea del equipo. Los resultados indican que Scrum puede trasladarse a la ciencia, pero solo con un alto grado de flexibilidad y un enfoque de aprender haciendo: las prácticas deben adaptarse al equipo y no aplicarse como un protocolo fijo.</w:t>
      </w:r>
    </w:p>
    <w:p>
      <w:pPr>
        <w:keepNext/>
        <w:spacing w:before="220" w:after="120"/>
        <w:jc w:val="left"/>
      </w:pPr>
      <w:r>
        <w:rPr>
          <w:rFonts w:ascii="Calibri" w:hAnsi="Calibri" w:eastAsia="Calibri"/>
          <w:b/>
          <w:i w:val="0"/>
          <w:color w:val="1F3150"/>
          <w:sz w:val="26"/>
        </w:rPr>
        <w:t>4. Conexiones con los constructos de los módulos anteriores</w:t>
      </w:r>
    </w:p>
    <w:p>
      <w:pPr>
        <w:spacing w:after="120"/>
        <w:jc w:val="both"/>
      </w:pPr>
      <w:r>
        <w:rPr>
          <w:rFonts w:ascii="Calibri" w:hAnsi="Calibri" w:eastAsia="Calibri"/>
          <w:b w:val="0"/>
          <w:i w:val="0"/>
          <w:sz w:val="22"/>
        </w:rPr>
        <w:t>La discusión mostró que la toma de decisiones reúne lo trabajado en los dos módulos previos. Del Módulo 1 proviene la seguridad psicológica: el equipo constató que el principal antídoto contra el pensamiento grupal descrito por Keyton y Beck (2023) no es un procedimiento, sino la confianza para expresar un desacuerdo sin costo. También proviene de allí el liderazgo compartido, que plantea una tensión nueva: si nadie tiene autoridad formal, el grupo no puede recurrir a la decisión por autoridad y debe elegir conscientemente entre consenso y mayoría.</w:t>
      </w:r>
    </w:p>
    <w:p>
      <w:pPr>
        <w:spacing w:after="120"/>
        <w:jc w:val="both"/>
      </w:pPr>
      <w:r>
        <w:rPr>
          <w:rFonts w:ascii="Calibri" w:hAnsi="Calibri" w:eastAsia="Calibri"/>
          <w:b w:val="0"/>
          <w:i w:val="0"/>
          <w:sz w:val="22"/>
        </w:rPr>
        <w:t>Del Módulo 2 proviene el intercambio de conocimiento. Buvik y Tvedt (2017) mostraban que el conocimiento circula cuando hay confianza y compromiso con el proyecto; en este módulo el equipo advirtió que una decisión solo puede ser tan buena como la información que llega a la mesa, de modo que la función de comprender el problema depende directamente de ese intercambio. El compromiso con el proyecto, por su parte, es lo que permite fijar criterios comunes: sin un objetivo compartido, cada integrante evalúa las alternativas según su propia parte del trabajo.</w:t>
      </w:r>
    </w:p>
    <w:p>
      <w:pPr>
        <w:spacing w:after="120"/>
        <w:jc w:val="both"/>
      </w:pPr>
      <w:r>
        <w:rPr>
          <w:rFonts w:ascii="Calibri" w:hAnsi="Calibri" w:eastAsia="Calibri"/>
          <w:b w:val="0"/>
          <w:i w:val="0"/>
          <w:sz w:val="22"/>
        </w:rPr>
        <w:t>Los artículos de este módulo agregan una conexión con la comunicación en equipo. El hallazgo de Tabassi y sus colegas sobre la evitación matiza la idea, presente en los dos módulos anteriores, de que todo desacuerdo debe expresarse de inmediato. Las prácticas de Scrum que describe Hidalgo, a su vez, formalizan los acuerdos que el equipo había adoptado por su cuenta: la agenda previa se parece a la planificación del ciclo y la ronda de cierre, a una retrospectiva.</w:t>
      </w:r>
    </w:p>
    <w:p>
      <w:pPr>
        <w:keepNext/>
        <w:spacing w:before="220" w:after="120"/>
        <w:jc w:val="left"/>
      </w:pPr>
      <w:r>
        <w:rPr>
          <w:rFonts w:ascii="Calibri" w:hAnsi="Calibri" w:eastAsia="Calibri"/>
          <w:b/>
          <w:i w:val="0"/>
          <w:color w:val="1F3150"/>
          <w:sz w:val="26"/>
        </w:rPr>
        <w:t>5. Los hechos: qué ocurrió dentro del equipo</w:t>
      </w:r>
    </w:p>
    <w:p>
      <w:pPr>
        <w:spacing w:after="120"/>
        <w:jc w:val="both"/>
      </w:pPr>
      <w:r>
        <w:rPr>
          <w:rFonts w:ascii="Calibri" w:hAnsi="Calibri" w:eastAsia="Calibri"/>
          <w:b/>
          <w:i w:val="0"/>
          <w:sz w:val="22"/>
        </w:rPr>
        <w:t>Hecho 1. Balance de los acuerdos del Módulo 2.</w:t>
      </w:r>
      <w:r>
        <w:rPr>
          <w:rFonts w:ascii="Calibri" w:hAnsi="Calibri" w:eastAsia="Calibri"/>
          <w:b w:val="0"/>
          <w:i w:val="0"/>
          <w:sz w:val="22"/>
        </w:rPr>
        <w:t xml:space="preserve"> El repositorio único se adoptó sin dificultades y no se repitió el problema de las versiones desactualizadas. El espacio breve para dudas al inicio de cada reunión se cumplió en todas las ocasiones. El reconocimiento explícito de un aporte ajeno en la ronda de cierre, en cambio, se aplicó de manera irregular: se omitió dos veces cuando la reunión se extendió más de lo previsto.</w:t>
      </w:r>
    </w:p>
    <w:p>
      <w:pPr>
        <w:spacing w:after="120"/>
        <w:jc w:val="both"/>
      </w:pPr>
      <w:r>
        <w:rPr>
          <w:rFonts w:ascii="Calibri" w:hAnsi="Calibri" w:eastAsia="Calibri"/>
          <w:b/>
          <w:i w:val="0"/>
          <w:sz w:val="22"/>
        </w:rPr>
        <w:t>Hecho 2. Desarrollo de la tercera sesión integradora.</w:t>
      </w:r>
      <w:r>
        <w:rPr>
          <w:rFonts w:ascii="Calibri" w:hAnsi="Calibri" w:eastAsia="Calibri"/>
          <w:b w:val="0"/>
          <w:i w:val="0"/>
          <w:sz w:val="22"/>
        </w:rPr>
        <w:t xml:space="preserve"> La sesión, con asistencia completa, la facilitó Cristóbal Hachim. Tras presentar los constructos del capítulo 5, el facilitador usó como disparador el caso de TechFin Solutions, una empresa financiera cuyo equipo piloto redujo sus despliegues de cinco meses a doce días con ciclos de dos semanas, aunque sus retrospectivas revelaron que el equipo evitaba discusiones críticas. La pregunta que guio la sesión fue si el Grupo 3 decidía de verdad o simplemente dejaba que las cosas se decidieran.</w:t>
      </w:r>
    </w:p>
    <w:p>
      <w:pPr>
        <w:spacing w:after="120"/>
        <w:jc w:val="both"/>
      </w:pPr>
      <w:r>
        <w:rPr>
          <w:rFonts w:ascii="Calibri" w:hAnsi="Calibri" w:eastAsia="Calibri"/>
          <w:b/>
          <w:i w:val="0"/>
          <w:sz w:val="22"/>
        </w:rPr>
        <w:t>Hecho 3. Una decisión que nadie tomó.</w:t>
      </w:r>
      <w:r>
        <w:rPr>
          <w:rFonts w:ascii="Calibri" w:hAnsi="Calibri" w:eastAsia="Calibri"/>
          <w:b w:val="0"/>
          <w:i w:val="0"/>
          <w:sz w:val="22"/>
        </w:rPr>
        <w:t xml:space="preserve"> Al repartir el trabajo de este módulo, una propuesta se publicó en el chat del grupo y, al no recibir objeciones en un día, se dio por aprobada. Durante la sesión, Cristopher Arredondo y Francisco Morales reconocieron que tenían reparos: la distribución dejaba dos secciones superpuestas, lo que terminó en trabajo duplicado, pero ninguno lo dijo por no reabrir algo que parecía resuelto. Al analizarlo, el grupo reconoció que el silencio se había tomado como acuerdo, el síntoma que Keyton y Beck llaman ilusión de unanimidad.</w:t>
      </w:r>
    </w:p>
    <w:p>
      <w:pPr>
        <w:spacing w:after="120"/>
        <w:jc w:val="both"/>
      </w:pPr>
      <w:r>
        <w:rPr>
          <w:rFonts w:ascii="Calibri" w:hAnsi="Calibri" w:eastAsia="Calibri"/>
          <w:b/>
          <w:i w:val="0"/>
          <w:sz w:val="22"/>
        </w:rPr>
        <w:t>Hecho 4. Resultados y acuerdos de la sesión.</w:t>
      </w:r>
      <w:r>
        <w:rPr>
          <w:rFonts w:ascii="Calibri" w:hAnsi="Calibri" w:eastAsia="Calibri"/>
          <w:b w:val="0"/>
          <w:i w:val="0"/>
          <w:sz w:val="22"/>
        </w:rPr>
        <w:t xml:space="preserve"> Para elegir las oportunidades de mejora, el facilitador aplicó una versión breve de la técnica de grupo nominal: cada integrante escribió sus propuestas por separado, luego se leyeron en ronda y finalmente se jerarquizaron. Fue la primera vez que todos aportaron por igual. El grupo cerró con la sensación de haber descubierto un punto ciego: en los dos módulos anteriores había revisado cómo conversa, pero nunca cómo decide.</w:t>
      </w:r>
    </w:p>
    <w:p>
      <w:pPr>
        <w:keepNext/>
        <w:spacing w:before="220" w:after="120"/>
        <w:jc w:val="left"/>
      </w:pPr>
      <w:r>
        <w:rPr>
          <w:rFonts w:ascii="Calibri" w:hAnsi="Calibri" w:eastAsia="Calibri"/>
          <w:b/>
          <w:i w:val="0"/>
          <w:color w:val="1F3150"/>
          <w:sz w:val="26"/>
        </w:rPr>
        <w:t>6. Comparaciones: semejanzas y diferencias con la literatura</w:t>
      </w:r>
    </w:p>
    <w:p>
      <w:pPr>
        <w:spacing w:after="120"/>
        <w:jc w:val="both"/>
      </w:pPr>
      <w:r>
        <w:rPr>
          <w:rFonts w:ascii="Calibri" w:hAnsi="Calibri" w:eastAsia="Calibri"/>
          <w:b w:val="0"/>
          <w:i w:val="0"/>
          <w:sz w:val="22"/>
        </w:rPr>
        <w:t>Se contrastan a continuación tres experiencias relatadas en las lecturas y los artículos con las vivencias del equipo, indicando tres semejanzas o diferencias en cada caso.</w:t>
      </w:r>
    </w:p>
    <w:p>
      <w:pPr>
        <w:keepNext/>
        <w:spacing w:before="220" w:after="120"/>
        <w:jc w:val="left"/>
      </w:pPr>
      <w:r>
        <w:rPr>
          <w:rFonts w:ascii="Calibri" w:hAnsi="Calibri" w:eastAsia="Calibri"/>
          <w:b/>
          <w:i w:val="0"/>
          <w:color w:val="1F3150"/>
          <w:sz w:val="26"/>
        </w:rPr>
        <w:t>6.1. Funciones de la decisión y pensamiento grupal (Keyton y Beck, 2023)</w:t>
      </w:r>
    </w:p>
    <w:p>
      <w:pPr>
        <w:spacing w:after="120"/>
        <w:jc w:val="both"/>
      </w:pPr>
      <w:r>
        <w:rPr>
          <w:rFonts w:ascii="Calibri" w:hAnsi="Calibri" w:eastAsia="Calibri"/>
          <w:b/>
          <w:i w:val="0"/>
          <w:sz w:val="22"/>
        </w:rPr>
        <w:t>Semejanza 1.</w:t>
      </w:r>
      <w:r>
        <w:rPr>
          <w:rFonts w:ascii="Calibri" w:hAnsi="Calibri" w:eastAsia="Calibri"/>
          <w:b w:val="0"/>
          <w:i w:val="0"/>
          <w:sz w:val="22"/>
        </w:rPr>
        <w:t xml:space="preserve"> La teoría funcional sostiene que las malas decisiones se originan con frecuencia en un análisis insuficiente del problema. La distribución del trabajo falló precisamente ahí: se pasó directo a una propuesta sin precisar qué exigía la entrega ni qué criterios debía cumplir el reparto.</w:t>
      </w:r>
    </w:p>
    <w:p>
      <w:pPr>
        <w:spacing w:after="120"/>
        <w:jc w:val="both"/>
      </w:pPr>
      <w:r>
        <w:rPr>
          <w:rFonts w:ascii="Calibri" w:hAnsi="Calibri" w:eastAsia="Calibri"/>
          <w:b/>
          <w:i w:val="0"/>
          <w:sz w:val="22"/>
        </w:rPr>
        <w:t>Semejanza 2.</w:t>
      </w:r>
      <w:r>
        <w:rPr>
          <w:rFonts w:ascii="Calibri" w:hAnsi="Calibri" w:eastAsia="Calibri"/>
          <w:b w:val="0"/>
          <w:i w:val="0"/>
          <w:sz w:val="22"/>
        </w:rPr>
        <w:t xml:space="preserve"> Los autores describen la ilusión de unanimidad y la autocensura como síntomas del pensamiento grupal. Ambos aparecieron: el silencio en el chat se leyó como acuerdo y dos integrantes callaron su objeción.</w:t>
      </w:r>
    </w:p>
    <w:p>
      <w:pPr>
        <w:spacing w:after="120"/>
        <w:jc w:val="both"/>
      </w:pPr>
      <w:r>
        <w:rPr>
          <w:rFonts w:ascii="Calibri" w:hAnsi="Calibri" w:eastAsia="Calibri"/>
          <w:b/>
          <w:i w:val="0"/>
          <w:sz w:val="22"/>
        </w:rPr>
        <w:t>Diferencia 1.</w:t>
      </w:r>
      <w:r>
        <w:rPr>
          <w:rFonts w:ascii="Calibri" w:hAnsi="Calibri" w:eastAsia="Calibri"/>
          <w:b w:val="0"/>
          <w:i w:val="0"/>
          <w:sz w:val="22"/>
        </w:rPr>
        <w:t xml:space="preserve"> En el capítulo, el pensamiento grupal se asocia a grupos muy cohesionados y presionados, que deciden asuntos de alto impacto. En el Grupo 3 apareció en una decisión menor y por una causa más prosaica: la comunicación asincrónica, donde no responder es más fácil que discrepar. El riesgo, entonces, depende también del canal.</w:t>
      </w:r>
    </w:p>
    <w:p>
      <w:pPr>
        <w:keepNext/>
        <w:spacing w:before="220" w:after="120"/>
        <w:jc w:val="left"/>
      </w:pPr>
      <w:r>
        <w:rPr>
          <w:rFonts w:ascii="Calibri" w:hAnsi="Calibri" w:eastAsia="Calibri"/>
          <w:b/>
          <w:i w:val="0"/>
          <w:color w:val="1F3150"/>
          <w:sz w:val="26"/>
        </w:rPr>
        <w:t>6.2. Gestión del conflicto y coordinación (Tabassi, Abdullah y Bryde, 2019)</w:t>
      </w:r>
    </w:p>
    <w:p>
      <w:pPr>
        <w:spacing w:after="120"/>
        <w:jc w:val="both"/>
      </w:pPr>
      <w:r>
        <w:rPr>
          <w:rFonts w:ascii="Calibri" w:hAnsi="Calibri" w:eastAsia="Calibri"/>
          <w:b/>
          <w:i w:val="0"/>
          <w:sz w:val="22"/>
        </w:rPr>
        <w:t>Semejanza 1.</w:t>
      </w:r>
      <w:r>
        <w:rPr>
          <w:rFonts w:ascii="Calibri" w:hAnsi="Calibri" w:eastAsia="Calibri"/>
          <w:b w:val="0"/>
          <w:i w:val="0"/>
          <w:sz w:val="22"/>
        </w:rPr>
        <w:t xml:space="preserve"> El estudio muestra que el estilo de gestión del conflicto afecta el desempeño a través de la coordinación. El desacuerdo no expresado no generó tensión entre las personas, pero sí descoordinación, visible en dos secciones duplicadas.</w:t>
      </w:r>
    </w:p>
    <w:p>
      <w:pPr>
        <w:spacing w:after="120"/>
        <w:jc w:val="both"/>
      </w:pPr>
      <w:r>
        <w:rPr>
          <w:rFonts w:ascii="Calibri" w:hAnsi="Calibri" w:eastAsia="Calibri"/>
          <w:b/>
          <w:i w:val="0"/>
          <w:sz w:val="22"/>
        </w:rPr>
        <w:t>Semejanza 2.</w:t>
      </w:r>
      <w:r>
        <w:rPr>
          <w:rFonts w:ascii="Calibri" w:hAnsi="Calibri" w:eastAsia="Calibri"/>
          <w:b w:val="0"/>
          <w:i w:val="0"/>
          <w:sz w:val="22"/>
        </w:rPr>
        <w:t xml:space="preserve"> Los autores estudian proyectos temporales, en los que los equipos trabajan juntos por poco tiempo. El Grupo 3 comparte esa condición, y la evitación tuvo en él la misma lógica protectora que describe el artículo: nadie quería arriesgar el buen clima construido en el Módulo 2.</w:t>
      </w:r>
    </w:p>
    <w:p>
      <w:pPr>
        <w:spacing w:after="120"/>
        <w:jc w:val="both"/>
      </w:pPr>
      <w:r>
        <w:rPr>
          <w:rFonts w:ascii="Calibri" w:hAnsi="Calibri" w:eastAsia="Calibri"/>
          <w:b/>
          <w:i w:val="0"/>
          <w:sz w:val="22"/>
        </w:rPr>
        <w:t>Diferencia 1.</w:t>
      </w:r>
      <w:r>
        <w:rPr>
          <w:rFonts w:ascii="Calibri" w:hAnsi="Calibri" w:eastAsia="Calibri"/>
          <w:b w:val="0"/>
          <w:i w:val="0"/>
          <w:sz w:val="22"/>
        </w:rPr>
        <w:t xml:space="preserve"> En el estudio, evitar el conflicto puede beneficiar el desempeño de equipos multiculturales. En el Grupo 3 la evitación tuvo un costo directo, igual que en el caso TechFin. El equipo concluyó que evitar puede servir ante diferencias de estilo o de trato, pero no cuando el desacuerdo es sobre la tarea, porque ahí el silencio se convierte en retrabajo.</w:t>
      </w:r>
    </w:p>
    <w:p>
      <w:pPr>
        <w:keepNext/>
        <w:spacing w:before="220" w:after="120"/>
        <w:jc w:val="left"/>
      </w:pPr>
      <w:r>
        <w:rPr>
          <w:rFonts w:ascii="Calibri" w:hAnsi="Calibri" w:eastAsia="Calibri"/>
          <w:b/>
          <w:i w:val="0"/>
          <w:color w:val="1F3150"/>
          <w:sz w:val="26"/>
        </w:rPr>
        <w:t>6.3. Equipos ágiles y digitales (Hidalgo, 2019; Guinan, Parise y Langowitz, 2019)</w:t>
      </w:r>
    </w:p>
    <w:p>
      <w:pPr>
        <w:spacing w:after="120"/>
        <w:jc w:val="both"/>
      </w:pPr>
      <w:r>
        <w:rPr>
          <w:rFonts w:ascii="Calibri" w:hAnsi="Calibri" w:eastAsia="Calibri"/>
          <w:b/>
          <w:i w:val="0"/>
          <w:sz w:val="22"/>
        </w:rPr>
        <w:t>Semejanza 1.</w:t>
      </w:r>
      <w:r>
        <w:rPr>
          <w:rFonts w:ascii="Calibri" w:hAnsi="Calibri" w:eastAsia="Calibri"/>
          <w:b w:val="0"/>
          <w:i w:val="0"/>
          <w:sz w:val="22"/>
        </w:rPr>
        <w:t xml:space="preserve"> Hidalgo concluye que Scrum funciona en contextos no tradicionales solo si se adapta. Como los investigadores del caso, los integrantes del grupo reparten su tiempo entre varias obligaciones y no pueden reunirse a diario, pero la ronda de cierre ya cumplía, sin ese nombre, la función de una retrospectiva.</w:t>
      </w:r>
    </w:p>
    <w:p>
      <w:pPr>
        <w:spacing w:after="120"/>
        <w:jc w:val="both"/>
      </w:pPr>
      <w:r>
        <w:rPr>
          <w:rFonts w:ascii="Calibri" w:hAnsi="Calibri" w:eastAsia="Calibri"/>
          <w:b/>
          <w:i w:val="0"/>
          <w:sz w:val="22"/>
        </w:rPr>
        <w:t>Semejanza 2.</w:t>
      </w:r>
      <w:r>
        <w:rPr>
          <w:rFonts w:ascii="Calibri" w:hAnsi="Calibri" w:eastAsia="Calibri"/>
          <w:b w:val="0"/>
          <w:i w:val="0"/>
          <w:sz w:val="22"/>
        </w:rPr>
        <w:t xml:space="preserve"> Guinan y sus colegas señalan la composición diversa y el establecimiento iterativo de metas como palancas de innovación. La diversidad de especialidades enriqueció las propuestas de la técnica nominal, y el objetivo de cada entrega, acordado en el Módulo 2, opera como una meta que se revisa en cada ciclo.</w:t>
      </w:r>
    </w:p>
    <w:p>
      <w:pPr>
        <w:spacing w:after="120"/>
        <w:jc w:val="both"/>
      </w:pPr>
      <w:r>
        <w:rPr>
          <w:rFonts w:ascii="Calibri" w:hAnsi="Calibri" w:eastAsia="Calibri"/>
          <w:b/>
          <w:i w:val="0"/>
          <w:sz w:val="22"/>
        </w:rPr>
        <w:t>Diferencia 1.</w:t>
      </w:r>
      <w:r>
        <w:rPr>
          <w:rFonts w:ascii="Calibri" w:hAnsi="Calibri" w:eastAsia="Calibri"/>
          <w:b w:val="0"/>
          <w:i w:val="0"/>
          <w:sz w:val="22"/>
        </w:rPr>
        <w:t xml:space="preserve"> Tanto Scrum como el caso TechFin asignan a un responsable de producto la autoridad para priorizar. En el Grupo 3 nadie tiene esa autoridad, porque el liderazgo es compartido, y por eso las decisiones quedaban abiertas o se cerraban por omisión.</w:t>
      </w:r>
    </w:p>
    <w:p>
      <w:pPr>
        <w:keepNext/>
        <w:spacing w:before="220" w:after="120"/>
        <w:jc w:val="left"/>
      </w:pPr>
      <w:r>
        <w:rPr>
          <w:rFonts w:ascii="Calibri" w:hAnsi="Calibri" w:eastAsia="Calibri"/>
          <w:b/>
          <w:i w:val="0"/>
          <w:color w:val="1F3150"/>
          <w:sz w:val="26"/>
        </w:rPr>
        <w:t>7. Oportunidades de crecimiento y cambio</w:t>
      </w:r>
    </w:p>
    <w:p>
      <w:pPr>
        <w:spacing w:after="120"/>
        <w:jc w:val="both"/>
      </w:pPr>
      <w:r>
        <w:rPr>
          <w:rFonts w:ascii="Calibri" w:hAnsi="Calibri" w:eastAsia="Calibri"/>
          <w:b/>
          <w:i w:val="0"/>
          <w:sz w:val="22"/>
        </w:rPr>
        <w:t>Oportunidad 1. Seguir las funciones de la decisión.</w:t>
      </w:r>
      <w:r>
        <w:rPr>
          <w:rFonts w:ascii="Calibri" w:hAnsi="Calibri" w:eastAsia="Calibri"/>
          <w:b w:val="0"/>
          <w:i w:val="0"/>
          <w:sz w:val="22"/>
        </w:rPr>
        <w:t xml:space="preserve"> Para las decisiones que afecten la entrega, el equipo usará una plantilla breve, guardada en el repositorio, con cuatro preguntas: cuál es el problema, qué criterios debe cumplir la solución, qué alternativas existen y qué consecuencias tiene cada una. Se aplicará desde el próximo módulo y es trasladable a cualquier reunión de proyecto en el ámbito laboral.</w:t>
      </w:r>
    </w:p>
    <w:p>
      <w:pPr>
        <w:spacing w:after="120"/>
        <w:jc w:val="both"/>
      </w:pPr>
      <w:r>
        <w:rPr>
          <w:rFonts w:ascii="Calibri" w:hAnsi="Calibri" w:eastAsia="Calibri"/>
          <w:b/>
          <w:i w:val="0"/>
          <w:sz w:val="22"/>
        </w:rPr>
        <w:t>Oportunidad 2. El silencio no es acuerdo.</w:t>
      </w:r>
      <w:r>
        <w:rPr>
          <w:rFonts w:ascii="Calibri" w:hAnsi="Calibri" w:eastAsia="Calibri"/>
          <w:b w:val="0"/>
          <w:i w:val="0"/>
          <w:sz w:val="22"/>
        </w:rPr>
        <w:t xml:space="preserve"> Toda decisión tomada por chat requerirá una respuesta explícita de cada integrante dentro de un plazo de 48 horas, y las decisiones quedarán anotadas en un registro del repositorio con la regla usada: consenso para lo que define la entrega, mayoría para lo operativo. Personalmente, varios integrantes reconocieron que habían tratado el no responder como una forma educada de no discrepar.</w:t>
      </w:r>
    </w:p>
    <w:p>
      <w:pPr>
        <w:spacing w:after="120"/>
        <w:jc w:val="both"/>
      </w:pPr>
      <w:r>
        <w:rPr>
          <w:rFonts w:ascii="Calibri" w:hAnsi="Calibri" w:eastAsia="Calibri"/>
          <w:b/>
          <w:i w:val="0"/>
          <w:sz w:val="22"/>
        </w:rPr>
        <w:t>Oportunidad 3. Un abogado del diablo rotativo y un responsable de priorizar.</w:t>
      </w:r>
      <w:r>
        <w:rPr>
          <w:rFonts w:ascii="Calibri" w:hAnsi="Calibri" w:eastAsia="Calibri"/>
          <w:b w:val="0"/>
          <w:i w:val="0"/>
          <w:sz w:val="22"/>
        </w:rPr>
        <w:t xml:space="preserve"> En cada sesión, un integrante distinto tendrá el encargo explícito de cuestionar la propuesta dominante, de modo que discrepar sea un rol y no un riesgo. Además, quien facilite la sesión tendrá, durante ese ciclo, la facultad de cerrar las decisiones operativas que queden abiertas. Así el liderazgo compartido del Módulo 1 se combina con un mandato acotado y temporal.</w:t>
      </w:r>
    </w:p>
    <w:p>
      <w:pPr>
        <w:spacing w:after="120"/>
        <w:jc w:val="both"/>
      </w:pPr>
      <w:r>
        <w:rPr>
          <w:rFonts w:ascii="Calibri" w:hAnsi="Calibri" w:eastAsia="Calibri"/>
          <w:b/>
          <w:i w:val="0"/>
          <w:sz w:val="22"/>
        </w:rPr>
        <w:t>Oportunidad 4. Ciclos ágiles adaptados y temas pendientes.</w:t>
      </w:r>
      <w:r>
        <w:rPr>
          <w:rFonts w:ascii="Calibri" w:hAnsi="Calibri" w:eastAsia="Calibri"/>
          <w:b w:val="0"/>
          <w:i w:val="0"/>
          <w:sz w:val="22"/>
        </w:rPr>
        <w:t xml:space="preserve"> El equipo organizará cada módulo como un ciclo con planificación inicial, un control asincrónico a mitad de semana y una retrospectiva en la ronda de cierre, que retomará también el reconocimiento de aportes que se omitió. Identificó, además, lo que necesita aprender: cómo distinguir los conflictos que conviene evitar de los que es necesario enfrentar, y qué protocolos de mediación usan los equipos ágiles, un elemento que el caso TechFin considera indispensable. Decidir dejó de verse como un momento puntual y pasó a entenderse como un proceso que el equipo puede diseñar.</w:t>
      </w:r>
    </w:p>
    <w:p>
      <w:pPr>
        <w:keepNext/>
        <w:spacing w:before="220" w:after="120"/>
        <w:jc w:val="left"/>
      </w:pPr>
      <w:r>
        <w:rPr>
          <w:rFonts w:ascii="Calibri" w:hAnsi="Calibri" w:eastAsia="Calibri"/>
          <w:b/>
          <w:i w:val="0"/>
          <w:color w:val="1F3150"/>
          <w:sz w:val="26"/>
        </w:rPr>
        <w:t>8. Conclusión</w:t>
      </w:r>
    </w:p>
    <w:p>
      <w:pPr>
        <w:spacing w:after="120"/>
        <w:jc w:val="both"/>
      </w:pPr>
      <w:r>
        <w:rPr>
          <w:rFonts w:ascii="Calibri" w:hAnsi="Calibri" w:eastAsia="Calibri"/>
          <w:b w:val="0"/>
          <w:i w:val="0"/>
          <w:sz w:val="22"/>
        </w:rPr>
        <w:t>La tercera discusión integradora mostró al Grupo 3 que un equipo puede conversar bien y, aun así, decidir mal. El buen clima construido en los módulos anteriores fue condición necesaria, pero no suficiente: sin procedimientos explícitos, la cohesión llevó a que el silencio reemplazara al acuerdo. El Módulo 1 dejó al grupo con acuerdos sobre cómo conducirse, el Módulo 2 con acuerdos sobre cómo vincularse y el Módulo 3 con acuerdos sobre cómo decidir. La literatura del módulo aportó dos matices que el equipo no esperaba: que evitar un conflicto no siempre es un error, y que los marcos ágiles solo funcionan cuando se adaptan al equipo que los usa. En un equipo sin jerarquía nadie cierra una decisión por los demás, por lo que los nuevos acuerdos no buscan decidir más rápido, sino de manera visible y con espacio para discrepar. La efectividad de estos acuerdos se evaluará, como la de los anteriores, al cierre del próximo módulo.</w:t>
      </w:r>
    </w:p>
    <w:p>
      <w:pPr>
        <w:keepNext/>
        <w:spacing w:before="220" w:after="120"/>
        <w:jc w:val="left"/>
      </w:pPr>
      <w:r>
        <w:rPr>
          <w:rFonts w:ascii="Calibri" w:hAnsi="Calibri" w:eastAsia="Calibri"/>
          <w:b/>
          <w:i w:val="0"/>
          <w:color w:val="1F3150"/>
          <w:sz w:val="26"/>
        </w:rPr>
        <w:t>Referencias</w:t>
      </w:r>
    </w:p>
    <w:p>
      <w:pPr>
        <w:spacing w:after="160"/>
        <w:ind w:left="720" w:hanging="720"/>
        <w:jc w:val="left"/>
      </w:pPr>
      <w:r>
        <w:rPr>
          <w:rFonts w:ascii="Calibri" w:hAnsi="Calibri" w:eastAsia="Calibri"/>
          <w:b w:val="0"/>
          <w:i w:val="0"/>
          <w:sz w:val="22"/>
        </w:rPr>
        <w:t xml:space="preserve">Buvik, M. P., &amp; Tvedt, S. D. (2017). The influence of project commitment and team commitment on the relationship between trust and knowledge sharing in project teams. </w:t>
      </w:r>
      <w:r>
        <w:rPr>
          <w:rFonts w:ascii="Calibri" w:hAnsi="Calibri" w:eastAsia="Calibri"/>
          <w:b w:val="0"/>
          <w:i/>
          <w:sz w:val="22"/>
        </w:rPr>
        <w:t>Project Management Journal, 48</w:t>
      </w:r>
      <w:r>
        <w:rPr>
          <w:rFonts w:ascii="Calibri" w:hAnsi="Calibri" w:eastAsia="Calibri"/>
          <w:b w:val="0"/>
          <w:i w:val="0"/>
          <w:sz w:val="22"/>
        </w:rPr>
        <w:t>(2), 5–21. https://doi.org/10.1177/875697281704800202</w:t>
      </w:r>
    </w:p>
    <w:p>
      <w:pPr>
        <w:spacing w:after="160"/>
        <w:ind w:left="720" w:hanging="720"/>
        <w:jc w:val="left"/>
      </w:pPr>
      <w:r>
        <w:rPr>
          <w:rFonts w:ascii="Calibri" w:hAnsi="Calibri" w:eastAsia="Calibri"/>
          <w:b w:val="0"/>
          <w:i w:val="0"/>
          <w:sz w:val="22"/>
        </w:rPr>
        <w:t xml:space="preserve">Guinan, P. J., Parise, S., &amp; Langowitz, N. (2019). Creating an innovative digital project team: Levers to enable digital transformation. </w:t>
      </w:r>
      <w:r>
        <w:rPr>
          <w:rFonts w:ascii="Calibri" w:hAnsi="Calibri" w:eastAsia="Calibri"/>
          <w:b w:val="0"/>
          <w:i/>
          <w:sz w:val="22"/>
        </w:rPr>
        <w:t>Business Horizons, 62</w:t>
      </w:r>
      <w:r>
        <w:rPr>
          <w:rFonts w:ascii="Calibri" w:hAnsi="Calibri" w:eastAsia="Calibri"/>
          <w:b w:val="0"/>
          <w:i w:val="0"/>
          <w:sz w:val="22"/>
        </w:rPr>
        <w:t>(6), 717–727. https://doi.org/10.1016/j.bushor.2019.07.005</w:t>
      </w:r>
    </w:p>
    <w:p>
      <w:pPr>
        <w:spacing w:after="160"/>
        <w:ind w:left="720" w:hanging="720"/>
        <w:jc w:val="left"/>
      </w:pPr>
      <w:r>
        <w:rPr>
          <w:rFonts w:ascii="Calibri" w:hAnsi="Calibri" w:eastAsia="Calibri"/>
          <w:b w:val="0"/>
          <w:i w:val="0"/>
          <w:sz w:val="22"/>
        </w:rPr>
        <w:t xml:space="preserve">Hidalgo, E. S. (2019). Adapting the scrum framework for agile project management in science: Case study of a distributed research initiative. </w:t>
      </w:r>
      <w:r>
        <w:rPr>
          <w:rFonts w:ascii="Calibri" w:hAnsi="Calibri" w:eastAsia="Calibri"/>
          <w:b w:val="0"/>
          <w:i/>
          <w:sz w:val="22"/>
        </w:rPr>
        <w:t>Heliyon, 5</w:t>
      </w:r>
      <w:r>
        <w:rPr>
          <w:rFonts w:ascii="Calibri" w:hAnsi="Calibri" w:eastAsia="Calibri"/>
          <w:b w:val="0"/>
          <w:i w:val="0"/>
          <w:sz w:val="22"/>
        </w:rPr>
        <w:t>(3), e01447. https://doi.org/10.1016/j.heliyon.2019.e01447</w:t>
      </w:r>
    </w:p>
    <w:p>
      <w:pPr>
        <w:spacing w:after="160"/>
        <w:ind w:left="720" w:hanging="720"/>
        <w:jc w:val="left"/>
      </w:pPr>
      <w:r>
        <w:rPr>
          <w:rFonts w:ascii="Calibri" w:hAnsi="Calibri" w:eastAsia="Calibri"/>
          <w:b w:val="0"/>
          <w:i w:val="0"/>
          <w:sz w:val="22"/>
        </w:rPr>
        <w:t xml:space="preserve">Keyton, J., &amp; Beck, S. J. (2023). </w:t>
      </w:r>
      <w:r>
        <w:rPr>
          <w:rFonts w:ascii="Calibri" w:hAnsi="Calibri" w:eastAsia="Calibri"/>
          <w:b w:val="0"/>
          <w:i/>
          <w:sz w:val="22"/>
        </w:rPr>
        <w:t>Communicating in groups and teams: Strategic interactions</w:t>
      </w:r>
      <w:r>
        <w:rPr>
          <w:rFonts w:ascii="Calibri" w:hAnsi="Calibri" w:eastAsia="Calibri"/>
          <w:b w:val="0"/>
          <w:i w:val="0"/>
          <w:sz w:val="22"/>
        </w:rPr>
        <w:t xml:space="preserve"> (5.ª ed.). Cognella Academic Publishing.</w:t>
      </w:r>
    </w:p>
    <w:p>
      <w:pPr>
        <w:spacing w:after="160"/>
        <w:ind w:left="720" w:hanging="720"/>
        <w:jc w:val="left"/>
      </w:pPr>
      <w:r>
        <w:rPr>
          <w:rFonts w:ascii="Calibri" w:hAnsi="Calibri" w:eastAsia="Calibri"/>
          <w:b w:val="0"/>
          <w:i w:val="0"/>
          <w:sz w:val="22"/>
        </w:rPr>
        <w:t xml:space="preserve">Tabassi, A. A., Abdullah, A., &amp; Bryde, D. J. (2019). Conflict management, team coordination, and performance within multicultural temporary projects: Evidence from the construction industry. </w:t>
      </w:r>
      <w:r>
        <w:rPr>
          <w:rFonts w:ascii="Calibri" w:hAnsi="Calibri" w:eastAsia="Calibri"/>
          <w:b w:val="0"/>
          <w:i/>
          <w:sz w:val="22"/>
        </w:rPr>
        <w:t>Project Management Journal, 50</w:t>
      </w:r>
      <w:r>
        <w:rPr>
          <w:rFonts w:ascii="Calibri" w:hAnsi="Calibri" w:eastAsia="Calibri"/>
          <w:b w:val="0"/>
          <w:i w:val="0"/>
          <w:sz w:val="22"/>
        </w:rPr>
        <w:t>(1), 101–114. https://doi.org/10.1177/8756972818818257</w:t>
      </w:r>
    </w:p>
    <w:sectPr w:rsidR="00FC693F" w:rsidRPr="0006063C" w:rsidSect="00034616">
      <w:headerReference w:type="default" r:id="rId9"/>
      <w:footerReference w:type="default" r:id="rId10"/>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b w:val="0"/>
        <w:i w:val="0"/>
        <w:color w:val="606060"/>
        <w:sz w:val="18"/>
      </w:rPr>
      <w:t xml:space="preserve">Página </w:t>
    </w:r>
    <w:r>
      <w:rPr>
        <w:rFonts w:ascii="Calibri" w:hAnsi="Calibri" w:eastAsia="Calibri"/>
        <w:b w:val="0"/>
        <w:i w:val="0"/>
        <w:color w:val="606060"/>
        <w:sz w:val="18"/>
      </w:rPr>
      <w:fldChar w:fldCharType="begin"/>
    </w:r>
    <w:r>
      <w:rPr>
        <w:rFonts w:ascii="Calibri" w:hAnsi="Calibri" w:eastAsia="Calibri"/>
        <w:b w:val="0"/>
        <w:i w:val="0"/>
        <w:color w:val="606060"/>
        <w:sz w:val="18"/>
      </w:rPr>
      <w:instrText xml:space="preserve"> PAGE </w:instrText>
    </w:r>
    <w:r>
      <w:rPr>
        <w:rFonts w:ascii="Calibri" w:hAnsi="Calibri" w:eastAsia="Calibri"/>
        <w:b w:val="0"/>
        <w:i w:val="0"/>
        <w:color w:val="60606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0000" cy="408672"/>
          <wp:docPr id="1" name="Picture 1"/>
          <wp:cNvGraphicFramePr>
            <a:graphicFrameLocks noChangeAspect="1"/>
          </wp:cNvGraphicFramePr>
          <a:graphic>
            <a:graphicData uri="http://schemas.openxmlformats.org/drawingml/2006/picture">
              <pic:pic>
                <pic:nvPicPr>
                  <pic:cNvPr id="0" name="image3.png"/>
                  <pic:cNvPicPr/>
                </pic:nvPicPr>
                <pic:blipFill>
                  <a:blip r:embed="rId1"/>
                  <a:stretch>
                    <a:fillRect/>
                  </a:stretch>
                </pic:blipFill>
                <pic:spPr>
                  <a:xfrm>
                    <a:off x="0" y="0"/>
                    <a:ext cx="5940000" cy="4086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PMG531_M3_Res_Grupo_03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