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600"/>
        <w:jc w:val="center"/>
      </w:pPr>
      <w:r/>
    </w:p>
    <w:p>
      <w:pPr>
        <w:spacing w:after="80"/>
        <w:jc w:val="center"/>
      </w:pPr>
      <w:r>
        <w:rPr>
          <w:rFonts w:ascii="Calibri" w:hAnsi="Calibri" w:eastAsia="Calibri"/>
          <w:b/>
          <w:i w:val="0"/>
          <w:color w:val="1F3150"/>
          <w:sz w:val="44"/>
        </w:rPr>
        <w:t>LIDERAZGO DE EQUIPOS</w:t>
      </w:r>
    </w:p>
    <w:p>
      <w:pPr>
        <w:spacing w:after="40"/>
        <w:jc w:val="center"/>
      </w:pPr>
      <w:r>
        <w:rPr>
          <w:rFonts w:ascii="Calibri" w:hAnsi="Calibri" w:eastAsia="Calibri"/>
          <w:b w:val="0"/>
          <w:i w:val="0"/>
          <w:sz w:val="28"/>
        </w:rPr>
        <w:t>Acta de la discusión integradora de equipo</w:t>
      </w:r>
    </w:p>
    <w:p>
      <w:pPr>
        <w:spacing w:after="920"/>
        <w:jc w:val="center"/>
      </w:pPr>
      <w:r>
        <w:rPr>
          <w:rFonts w:ascii="Calibri" w:hAnsi="Calibri" w:eastAsia="Calibri"/>
          <w:b w:val="0"/>
          <w:i w:val="0"/>
          <w:color w:val="555555"/>
          <w:sz w:val="24"/>
        </w:rPr>
        <w:t>Módulo 5 · Evaluación Sumativa 10 · Grupo 3</w:t>
      </w:r>
    </w:p>
    <w:p>
      <w:pPr>
        <w:spacing w:after="40"/>
        <w:jc w:val="center"/>
      </w:pPr>
      <w:r>
        <w:rPr>
          <w:rFonts w:ascii="Calibri" w:hAnsi="Calibri" w:eastAsia="Calibri"/>
          <w:b/>
          <w:i w:val="0"/>
          <w:sz w:val="22"/>
        </w:rPr>
        <w:t xml:space="preserve">Integrantes: </w:t>
      </w:r>
      <w:r>
        <w:rPr>
          <w:rFonts w:ascii="Calibri" w:hAnsi="Calibri" w:eastAsia="Calibri"/>
          <w:b w:val="0"/>
          <w:i w:val="0"/>
          <w:sz w:val="22"/>
        </w:rPr>
        <w:t>Benjamín Peña Diaz</w:t>
      </w:r>
    </w:p>
    <w:p>
      <w:pPr>
        <w:spacing w:after="40"/>
        <w:jc w:val="center"/>
      </w:pPr>
      <w:r>
        <w:rPr>
          <w:rFonts w:ascii="Calibri" w:hAnsi="Calibri" w:eastAsia="Calibri"/>
          <w:b w:val="0"/>
          <w:i w:val="0"/>
          <w:sz w:val="22"/>
        </w:rPr>
        <w:t>Cristóbal Flores Villegas</w:t>
      </w:r>
    </w:p>
    <w:p>
      <w:pPr>
        <w:spacing w:after="40"/>
        <w:jc w:val="center"/>
      </w:pPr>
      <w:r>
        <w:rPr>
          <w:rFonts w:ascii="Calibri" w:hAnsi="Calibri" w:eastAsia="Calibri"/>
          <w:b w:val="0"/>
          <w:i w:val="0"/>
          <w:sz w:val="22"/>
        </w:rPr>
        <w:t>Cristóbal Hachim Sánchez</w:t>
      </w:r>
    </w:p>
    <w:p>
      <w:pPr>
        <w:spacing w:after="40"/>
        <w:jc w:val="center"/>
      </w:pPr>
      <w:r>
        <w:rPr>
          <w:rFonts w:ascii="Calibri" w:hAnsi="Calibri" w:eastAsia="Calibri"/>
          <w:b w:val="0"/>
          <w:i w:val="0"/>
          <w:sz w:val="22"/>
        </w:rPr>
        <w:t>Cristopher Arredondo Canchis</w:t>
      </w:r>
    </w:p>
    <w:p>
      <w:pPr>
        <w:spacing w:after="40"/>
        <w:jc w:val="center"/>
      </w:pPr>
      <w:r>
        <w:rPr>
          <w:rFonts w:ascii="Calibri" w:hAnsi="Calibri" w:eastAsia="Calibri"/>
          <w:b w:val="0"/>
          <w:i w:val="0"/>
          <w:sz w:val="22"/>
        </w:rPr>
        <w:t>Francisco Morales Díaz</w:t>
      </w:r>
    </w:p>
    <w:p>
      <w:pPr>
        <w:spacing w:after="200"/>
      </w:pPr>
    </w:p>
    <w:p>
      <w:pPr>
        <w:spacing w:after="40"/>
        <w:jc w:val="center"/>
      </w:pPr>
      <w:r>
        <w:rPr>
          <w:rFonts w:ascii="Calibri" w:hAnsi="Calibri" w:eastAsia="Calibri"/>
          <w:b/>
          <w:i w:val="0"/>
          <w:sz w:val="22"/>
        </w:rPr>
        <w:t xml:space="preserve">Asignatura: </w:t>
      </w:r>
      <w:r>
        <w:rPr>
          <w:rFonts w:ascii="Calibri" w:hAnsi="Calibri" w:eastAsia="Calibri"/>
          <w:b w:val="0"/>
          <w:i w:val="0"/>
          <w:sz w:val="22"/>
        </w:rPr>
        <w:t>Liderando Equipos Integradores (PMG531)</w:t>
      </w:r>
    </w:p>
    <w:p>
      <w:pPr>
        <w:spacing w:after="40"/>
        <w:jc w:val="center"/>
      </w:pPr>
      <w:r>
        <w:rPr>
          <w:rFonts w:ascii="Calibri" w:hAnsi="Calibri" w:eastAsia="Calibri"/>
          <w:b/>
          <w:i w:val="0"/>
          <w:sz w:val="22"/>
        </w:rPr>
        <w:t xml:space="preserve">NRC: </w:t>
      </w:r>
      <w:r>
        <w:rPr>
          <w:rFonts w:ascii="Calibri" w:hAnsi="Calibri" w:eastAsia="Calibri"/>
          <w:b w:val="0"/>
          <w:i w:val="0"/>
          <w:sz w:val="22"/>
        </w:rPr>
        <w:t>12109 — Sección 550</w:t>
      </w:r>
    </w:p>
    <w:p>
      <w:pPr>
        <w:spacing w:after="40"/>
        <w:jc w:val="center"/>
      </w:pPr>
      <w:r>
        <w:rPr>
          <w:rFonts w:ascii="Calibri" w:hAnsi="Calibri" w:eastAsia="Calibri"/>
          <w:b/>
          <w:i w:val="0"/>
          <w:sz w:val="22"/>
        </w:rPr>
        <w:t xml:space="preserve">Docente: </w:t>
      </w:r>
      <w:r>
        <w:rPr>
          <w:rFonts w:ascii="Calibri" w:hAnsi="Calibri" w:eastAsia="Calibri"/>
          <w:b w:val="0"/>
          <w:i w:val="0"/>
          <w:sz w:val="22"/>
        </w:rPr>
        <w:t>María Jesús Céspedes</w:t>
      </w:r>
    </w:p>
    <w:p>
      <w:pPr>
        <w:spacing w:after="40"/>
        <w:jc w:val="center"/>
      </w:pPr>
      <w:r>
        <w:rPr>
          <w:rFonts w:ascii="Calibri" w:hAnsi="Calibri" w:eastAsia="Calibri"/>
          <w:b/>
          <w:i w:val="0"/>
          <w:sz w:val="22"/>
        </w:rPr>
        <w:t xml:space="preserve">Correo docente: </w:t>
      </w:r>
      <w:r>
        <w:rPr>
          <w:rFonts w:ascii="Calibri" w:hAnsi="Calibri" w:eastAsia="Calibri"/>
          <w:b w:val="0"/>
          <w:i w:val="0"/>
          <w:sz w:val="22"/>
        </w:rPr>
        <w:t>m.cespedesstuven@uandresbello.edu</w:t>
      </w:r>
    </w:p>
    <w:p>
      <w:pPr>
        <w:spacing w:after="40"/>
        <w:jc w:val="center"/>
      </w:pPr>
      <w:r>
        <w:rPr>
          <w:rFonts w:ascii="Calibri" w:hAnsi="Calibri" w:eastAsia="Calibri"/>
          <w:b/>
          <w:i w:val="0"/>
          <w:sz w:val="22"/>
        </w:rPr>
        <w:t xml:space="preserve">Fecha de entrega: </w:t>
      </w:r>
      <w:r>
        <w:rPr>
          <w:rFonts w:ascii="Calibri" w:hAnsi="Calibri" w:eastAsia="Calibri"/>
          <w:b w:val="0"/>
          <w:i w:val="0"/>
          <w:sz w:val="22"/>
        </w:rPr>
        <w:t>14 de diciembre de 2026</w:t>
      </w:r>
    </w:p>
    <w:p>
      <w:r/>
    </w:p>
    <w:p>
      <w:pPr>
        <w:keepNext/>
        <w:spacing w:before="0" w:after="120"/>
        <w:jc w:val="left"/>
      </w:pPr>
      <w:r>
        <w:rPr>
          <w:rFonts w:ascii="Calibri" w:hAnsi="Calibri" w:eastAsia="Calibri"/>
          <w:b/>
          <w:i w:val="0"/>
          <w:color w:val="1F3150"/>
          <w:sz w:val="26"/>
        </w:rPr>
        <w:t>1. Antecedentes de la sesión</w:t>
      </w:r>
    </w:p>
    <w:tbl>
      <w:tblPr>
        <w:tblStyle w:val="TableGrid"/>
        <w:tblW w:type="auto" w:w="0"/>
        <w:jc w:val="center"/>
        <w:tblLook w:firstColumn="1" w:firstRow="1" w:lastColumn="0" w:lastRow="0" w:noHBand="0" w:noVBand="1" w:val="04A0"/>
      </w:tblPr>
      <w:tblGrid>
        <w:gridCol w:w="4680"/>
        <w:gridCol w:w="4680"/>
      </w:tblGrid>
      <w:tr>
        <w:tc>
          <w:tcPr>
            <w:tcW w:type="dxa" w:w="2608"/>
            <w:shd w:val="clear" w:fill="F2F4F8"/>
          </w:tcPr>
          <w:p>
            <w:pPr>
              <w:spacing w:line="240" w:lineRule="auto" w:before="40" w:after="40"/>
              <w:jc w:val="left"/>
            </w:pPr>
            <w:r>
              <w:rPr>
                <w:rFonts w:ascii="Calibri" w:hAnsi="Calibri" w:eastAsia="Calibri"/>
                <w:b/>
                <w:i w:val="0"/>
                <w:sz w:val="20"/>
              </w:rPr>
              <w:t>Equipo</w:t>
            </w:r>
          </w:p>
        </w:tc>
        <w:tc>
          <w:tcPr>
            <w:tcW w:type="dxa" w:w="6746"/>
          </w:tcPr>
          <w:p>
            <w:pPr>
              <w:spacing w:line="240" w:lineRule="auto" w:before="40" w:after="40"/>
              <w:jc w:val="left"/>
            </w:pPr>
            <w:r>
              <w:rPr>
                <w:rFonts w:ascii="Calibri" w:hAnsi="Calibri" w:eastAsia="Calibri"/>
                <w:b w:val="0"/>
                <w:i w:val="0"/>
                <w:sz w:val="20"/>
              </w:rPr>
              <w:t>Grupo 3 — Liderando Equipos Integradores (NRC 12109, Sección 550)</w:t>
            </w:r>
          </w:p>
        </w:tc>
      </w:tr>
      <w:tr>
        <w:tc>
          <w:tcPr>
            <w:tcW w:type="dxa" w:w="2608"/>
            <w:shd w:val="clear" w:fill="F2F4F8"/>
          </w:tcPr>
          <w:p>
            <w:pPr>
              <w:spacing w:line="240" w:lineRule="auto" w:before="40" w:after="40"/>
              <w:jc w:val="left"/>
            </w:pPr>
            <w:r>
              <w:rPr>
                <w:rFonts w:ascii="Calibri" w:hAnsi="Calibri" w:eastAsia="Calibri"/>
                <w:b/>
                <w:i w:val="0"/>
                <w:sz w:val="20"/>
              </w:rPr>
              <w:t>Fecha de la sesión</w:t>
            </w:r>
          </w:p>
        </w:tc>
        <w:tc>
          <w:tcPr>
            <w:tcW w:type="dxa" w:w="6746"/>
          </w:tcPr>
          <w:p>
            <w:pPr>
              <w:spacing w:line="240" w:lineRule="auto" w:before="40" w:after="40"/>
              <w:jc w:val="left"/>
            </w:pPr>
            <w:r>
              <w:rPr>
                <w:rFonts w:ascii="Calibri" w:hAnsi="Calibri" w:eastAsia="Calibri"/>
                <w:b w:val="0"/>
                <w:i w:val="0"/>
                <w:sz w:val="20"/>
              </w:rPr>
              <w:t>10 de diciembre de 2026</w:t>
            </w:r>
          </w:p>
        </w:tc>
      </w:tr>
      <w:tr>
        <w:tc>
          <w:tcPr>
            <w:tcW w:type="dxa" w:w="2608"/>
            <w:shd w:val="clear" w:fill="F2F4F8"/>
          </w:tcPr>
          <w:p>
            <w:pPr>
              <w:spacing w:line="240" w:lineRule="auto" w:before="40" w:after="40"/>
              <w:jc w:val="left"/>
            </w:pPr>
            <w:r>
              <w:rPr>
                <w:rFonts w:ascii="Calibri" w:hAnsi="Calibri" w:eastAsia="Calibri"/>
                <w:b/>
                <w:i w:val="0"/>
                <w:sz w:val="20"/>
              </w:rPr>
              <w:t>Horario y duración</w:t>
            </w:r>
          </w:p>
        </w:tc>
        <w:tc>
          <w:tcPr>
            <w:tcW w:type="dxa" w:w="6746"/>
          </w:tcPr>
          <w:p>
            <w:pPr>
              <w:spacing w:line="240" w:lineRule="auto" w:before="40" w:after="40"/>
              <w:jc w:val="left"/>
            </w:pPr>
            <w:r>
              <w:rPr>
                <w:rFonts w:ascii="Calibri" w:hAnsi="Calibri" w:eastAsia="Calibri"/>
                <w:b w:val="0"/>
                <w:i w:val="0"/>
                <w:sz w:val="20"/>
              </w:rPr>
              <w:t>19:00 a 20:30 horas (90 minutos)</w:t>
            </w:r>
          </w:p>
        </w:tc>
      </w:tr>
      <w:tr>
        <w:tc>
          <w:tcPr>
            <w:tcW w:type="dxa" w:w="2608"/>
            <w:shd w:val="clear" w:fill="F2F4F8"/>
          </w:tcPr>
          <w:p>
            <w:pPr>
              <w:spacing w:line="240" w:lineRule="auto" w:before="40" w:after="40"/>
              <w:jc w:val="left"/>
            </w:pPr>
            <w:r>
              <w:rPr>
                <w:rFonts w:ascii="Calibri" w:hAnsi="Calibri" w:eastAsia="Calibri"/>
                <w:b/>
                <w:i w:val="0"/>
                <w:sz w:val="20"/>
              </w:rPr>
              <w:t>Modalidad</w:t>
            </w:r>
          </w:p>
        </w:tc>
        <w:tc>
          <w:tcPr>
            <w:tcW w:type="dxa" w:w="6746"/>
          </w:tcPr>
          <w:p>
            <w:pPr>
              <w:spacing w:line="240" w:lineRule="auto" w:before="40" w:after="40"/>
              <w:jc w:val="left"/>
            </w:pPr>
            <w:r>
              <w:rPr>
                <w:rFonts w:ascii="Calibri" w:hAnsi="Calibri" w:eastAsia="Calibri"/>
                <w:b w:val="0"/>
                <w:i w:val="0"/>
                <w:sz w:val="20"/>
              </w:rPr>
              <w:t>Videoconferencia sincrónica</w:t>
            </w:r>
          </w:p>
        </w:tc>
      </w:tr>
      <w:tr>
        <w:tc>
          <w:tcPr>
            <w:tcW w:type="dxa" w:w="2608"/>
            <w:shd w:val="clear" w:fill="F2F4F8"/>
          </w:tcPr>
          <w:p>
            <w:pPr>
              <w:spacing w:line="240" w:lineRule="auto" w:before="40" w:after="40"/>
              <w:jc w:val="left"/>
            </w:pPr>
            <w:r>
              <w:rPr>
                <w:rFonts w:ascii="Calibri" w:hAnsi="Calibri" w:eastAsia="Calibri"/>
                <w:b/>
                <w:i w:val="0"/>
                <w:sz w:val="20"/>
              </w:rPr>
              <w:t>Participantes</w:t>
            </w:r>
          </w:p>
        </w:tc>
        <w:tc>
          <w:tcPr>
            <w:tcW w:type="dxa" w:w="6746"/>
          </w:tcPr>
          <w:p>
            <w:pPr>
              <w:spacing w:line="240" w:lineRule="auto" w:before="40" w:after="40"/>
              <w:jc w:val="left"/>
            </w:pPr>
            <w:r>
              <w:rPr>
                <w:rFonts w:ascii="Calibri" w:hAnsi="Calibri" w:eastAsia="Calibri"/>
                <w:b w:val="0"/>
                <w:i w:val="0"/>
                <w:sz w:val="20"/>
              </w:rPr>
              <w:t>Benjamín Peña Diaz, Cristóbal Flores Villegas, Cristóbal Hachim Sánchez, Cristopher Arredondo Canchis y Francisco Morales Díaz (asistencia completa)</w:t>
            </w:r>
          </w:p>
        </w:tc>
      </w:tr>
      <w:tr>
        <w:tc>
          <w:tcPr>
            <w:tcW w:type="dxa" w:w="2608"/>
            <w:shd w:val="clear" w:fill="F2F4F8"/>
          </w:tcPr>
          <w:p>
            <w:pPr>
              <w:spacing w:line="240" w:lineRule="auto" w:before="40" w:after="40"/>
              <w:jc w:val="left"/>
            </w:pPr>
            <w:r>
              <w:rPr>
                <w:rFonts w:ascii="Calibri" w:hAnsi="Calibri" w:eastAsia="Calibri"/>
                <w:b/>
                <w:i w:val="0"/>
                <w:sz w:val="20"/>
              </w:rPr>
              <w:t>Facilitación</w:t>
            </w:r>
          </w:p>
        </w:tc>
        <w:tc>
          <w:tcPr>
            <w:tcW w:type="dxa" w:w="6746"/>
          </w:tcPr>
          <w:p>
            <w:pPr>
              <w:spacing w:line="240" w:lineRule="auto" w:before="40" w:after="40"/>
              <w:jc w:val="left"/>
            </w:pPr>
            <w:r>
              <w:rPr>
                <w:rFonts w:ascii="Calibri" w:hAnsi="Calibri" w:eastAsia="Calibri"/>
                <w:b w:val="0"/>
                <w:i w:val="0"/>
                <w:sz w:val="20"/>
              </w:rPr>
              <w:t>Francisco Morales Díaz, según la rotación acordada en el Módulo 1</w:t>
            </w:r>
          </w:p>
        </w:tc>
      </w:tr>
      <w:tr>
        <w:tc>
          <w:tcPr>
            <w:tcW w:type="dxa" w:w="2608"/>
            <w:shd w:val="clear" w:fill="F2F4F8"/>
          </w:tcPr>
          <w:p>
            <w:pPr>
              <w:spacing w:line="240" w:lineRule="auto" w:before="40" w:after="40"/>
              <w:jc w:val="left"/>
            </w:pPr>
            <w:r>
              <w:rPr>
                <w:rFonts w:ascii="Calibri" w:hAnsi="Calibri" w:eastAsia="Calibri"/>
                <w:b/>
                <w:i w:val="0"/>
                <w:sz w:val="20"/>
              </w:rPr>
              <w:t>Registro del acta</w:t>
            </w:r>
          </w:p>
        </w:tc>
        <w:tc>
          <w:tcPr>
            <w:tcW w:type="dxa" w:w="6746"/>
          </w:tcPr>
          <w:p>
            <w:pPr>
              <w:spacing w:line="240" w:lineRule="auto" w:before="40" w:after="40"/>
              <w:jc w:val="left"/>
            </w:pPr>
            <w:r>
              <w:rPr>
                <w:rFonts w:ascii="Calibri" w:hAnsi="Calibri" w:eastAsia="Calibri"/>
                <w:b w:val="0"/>
                <w:i w:val="0"/>
                <w:sz w:val="20"/>
              </w:rPr>
              <w:t>Cristóbal Flores Villegas</w:t>
            </w:r>
          </w:p>
        </w:tc>
      </w:tr>
    </w:tbl>
    <w:p>
      <w:pPr>
        <w:spacing w:after="0"/>
      </w:pPr>
    </w:p>
    <w:p>
      <w:pPr>
        <w:keepNext/>
        <w:spacing w:before="220" w:after="120"/>
        <w:jc w:val="left"/>
      </w:pPr>
      <w:r>
        <w:rPr>
          <w:rFonts w:ascii="Calibri" w:hAnsi="Calibri" w:eastAsia="Calibri"/>
          <w:b/>
          <w:i w:val="0"/>
          <w:color w:val="1F3150"/>
          <w:sz w:val="26"/>
        </w:rPr>
        <w:t>2. Introducción y definición de los constructos</w:t>
      </w:r>
    </w:p>
    <w:p>
      <w:pPr>
        <w:spacing w:after="120"/>
        <w:jc w:val="both"/>
      </w:pPr>
      <w:r>
        <w:rPr>
          <w:rFonts w:ascii="Calibri" w:hAnsi="Calibri" w:eastAsia="Calibri"/>
          <w:b w:val="0"/>
          <w:i w:val="0"/>
          <w:sz w:val="22"/>
        </w:rPr>
        <w:t>Este informe documenta la quinta discusión integradora del Grupo 3, correspondiente al Módulo 5 de la asignatura Liderando Equipos Integradores. Los módulos anteriores examinaron cómo se conduce un equipo, qué lo mantiene unido, cómo decide y cómo comparte lo que sabe. Este módulo aborda lo que aparece cuando esas capas se tensionan: el conflicto, y la forma en que las diferencias entre los integrantes lo originan y lo resuelven.</w:t>
      </w:r>
    </w:p>
    <w:p>
      <w:pPr>
        <w:spacing w:after="120"/>
        <w:jc w:val="both"/>
      </w:pPr>
      <w:r>
        <w:rPr>
          <w:rFonts w:ascii="Calibri" w:hAnsi="Calibri" w:eastAsia="Calibri"/>
          <w:b w:val="0"/>
          <w:i w:val="0"/>
          <w:sz w:val="22"/>
        </w:rPr>
        <w:t xml:space="preserve">Los constructos provienen del capítulo 7, “Manejo de conflictos en grupos”, de Keyton y Beck (2023). El primero es el propio </w:t>
      </w:r>
      <w:r>
        <w:rPr>
          <w:rFonts w:ascii="Calibri" w:hAnsi="Calibri" w:eastAsia="Calibri"/>
          <w:b/>
          <w:i w:val="0"/>
          <w:sz w:val="22"/>
        </w:rPr>
        <w:t>conflicto</w:t>
      </w:r>
      <w:r>
        <w:rPr>
          <w:rFonts w:ascii="Calibri" w:hAnsi="Calibri" w:eastAsia="Calibri"/>
          <w:b w:val="0"/>
          <w:i w:val="0"/>
          <w:sz w:val="22"/>
        </w:rPr>
        <w:t xml:space="preserve">, entendido como la interacción entre personas interdependientes que perciben metas, ideas o intereses incompatibles. Los autores distinguen tres </w:t>
      </w:r>
      <w:r>
        <w:rPr>
          <w:rFonts w:ascii="Calibri" w:hAnsi="Calibri" w:eastAsia="Calibri"/>
          <w:b/>
          <w:i w:val="0"/>
          <w:sz w:val="22"/>
        </w:rPr>
        <w:t>tipos de conflicto</w:t>
      </w:r>
      <w:r>
        <w:rPr>
          <w:rFonts w:ascii="Calibri" w:hAnsi="Calibri" w:eastAsia="Calibri"/>
          <w:b w:val="0"/>
          <w:i w:val="0"/>
          <w:sz w:val="22"/>
        </w:rPr>
        <w:t>: el de tarea, referido al contenido del trabajo; el de proceso, relativo a cómo se organiza y distribuye; y el relacional, que involucra a las personas y sus vínculos. El conflicto de tarea, bien manejado, puede mejorar la calidad del resultado, mientras que el relacional tiende a dañar el clima y la cohesión.</w:t>
      </w:r>
    </w:p>
    <w:p>
      <w:pPr>
        <w:spacing w:after="120"/>
        <w:jc w:val="both"/>
      </w:pPr>
      <w:r>
        <w:rPr>
          <w:rFonts w:ascii="Calibri" w:hAnsi="Calibri" w:eastAsia="Calibri"/>
          <w:b w:val="0"/>
          <w:i w:val="0"/>
          <w:sz w:val="22"/>
        </w:rPr>
        <w:t xml:space="preserve">El tercer constructo son los </w:t>
      </w:r>
      <w:r>
        <w:rPr>
          <w:rFonts w:ascii="Calibri" w:hAnsi="Calibri" w:eastAsia="Calibri"/>
          <w:b/>
          <w:i w:val="0"/>
          <w:sz w:val="22"/>
        </w:rPr>
        <w:t>estilos de manejo del conflicto</w:t>
      </w:r>
      <w:r>
        <w:rPr>
          <w:rFonts w:ascii="Calibri" w:hAnsi="Calibri" w:eastAsia="Calibri"/>
          <w:b w:val="0"/>
          <w:i w:val="0"/>
          <w:sz w:val="22"/>
        </w:rPr>
        <w:t xml:space="preserve">, que combinan la preocupación por los propios intereses con la preocupación por los del otro: competir, colaborar o integrar, transigir, acomodarse y evitar. Ninguno es adecuado en todos los casos, aunque la colaboración suele producir las soluciones más duraderas. El cuarto es la distinción entre </w:t>
      </w:r>
      <w:r>
        <w:rPr>
          <w:rFonts w:ascii="Calibri" w:hAnsi="Calibri" w:eastAsia="Calibri"/>
          <w:b/>
          <w:i w:val="0"/>
          <w:sz w:val="22"/>
        </w:rPr>
        <w:t>conflicto productivo y destructivo</w:t>
      </w:r>
      <w:r>
        <w:rPr>
          <w:rFonts w:ascii="Calibri" w:hAnsi="Calibri" w:eastAsia="Calibri"/>
          <w:b w:val="0"/>
          <w:i w:val="0"/>
          <w:sz w:val="22"/>
        </w:rPr>
        <w:t>: el primero se mantiene centrado en el problema y amplía las alternativas, y el segundo escala hacia lo personal y se vuelve un fin en sí mismo.</w:t>
      </w:r>
    </w:p>
    <w:p>
      <w:pPr>
        <w:spacing w:after="120"/>
        <w:jc w:val="both"/>
      </w:pPr>
      <w:r>
        <w:rPr>
          <w:rFonts w:ascii="Calibri" w:hAnsi="Calibri" w:eastAsia="Calibri"/>
          <w:b w:val="0"/>
          <w:i w:val="0"/>
          <w:sz w:val="22"/>
        </w:rPr>
        <w:t xml:space="preserve">Los artículos del módulo incorporan otros constructos. La </w:t>
      </w:r>
      <w:r>
        <w:rPr>
          <w:rFonts w:ascii="Calibri" w:hAnsi="Calibri" w:eastAsia="Calibri"/>
          <w:b/>
          <w:i w:val="0"/>
          <w:sz w:val="22"/>
        </w:rPr>
        <w:t>inteligencia cultural</w:t>
      </w:r>
      <w:r>
        <w:rPr>
          <w:rFonts w:ascii="Calibri" w:hAnsi="Calibri" w:eastAsia="Calibri"/>
          <w:b w:val="0"/>
          <w:i w:val="0"/>
          <w:sz w:val="22"/>
        </w:rPr>
        <w:t xml:space="preserve"> es la capacidad de una persona para desenvolverse con eficacia en contextos culturalmente diversos, y comprende componentes de motivación, conocimiento, estrategia y conducta. La </w:t>
      </w:r>
      <w:r>
        <w:rPr>
          <w:rFonts w:ascii="Calibri" w:hAnsi="Calibri" w:eastAsia="Calibri"/>
          <w:b/>
          <w:i w:val="0"/>
          <w:sz w:val="22"/>
        </w:rPr>
        <w:t>alineación de normas de comunicación</w:t>
      </w:r>
      <w:r>
        <w:rPr>
          <w:rFonts w:ascii="Calibri" w:hAnsi="Calibri" w:eastAsia="Calibri"/>
          <w:b w:val="0"/>
          <w:i w:val="0"/>
          <w:sz w:val="22"/>
        </w:rPr>
        <w:t xml:space="preserve"> alude al acuerdo del equipo sobre cómo, cuándo y por qué medio se comunica, y la </w:t>
      </w:r>
      <w:r>
        <w:rPr>
          <w:rFonts w:ascii="Calibri" w:hAnsi="Calibri" w:eastAsia="Calibri"/>
          <w:b/>
          <w:i w:val="0"/>
          <w:sz w:val="22"/>
        </w:rPr>
        <w:t>claridad de rol</w:t>
      </w:r>
      <w:r>
        <w:rPr>
          <w:rFonts w:ascii="Calibri" w:hAnsi="Calibri" w:eastAsia="Calibri"/>
          <w:b w:val="0"/>
          <w:i w:val="0"/>
          <w:sz w:val="22"/>
        </w:rPr>
        <w:t xml:space="preserve">, a la comprensión que cada uno tiene de lo que se espera de él. La </w:t>
      </w:r>
      <w:r>
        <w:rPr>
          <w:rFonts w:ascii="Calibri" w:hAnsi="Calibri" w:eastAsia="Calibri"/>
          <w:b/>
          <w:i w:val="0"/>
          <w:sz w:val="22"/>
        </w:rPr>
        <w:t>diversidad personal y contextual</w:t>
      </w:r>
      <w:r>
        <w:rPr>
          <w:rFonts w:ascii="Calibri" w:hAnsi="Calibri" w:eastAsia="Calibri"/>
          <w:b w:val="0"/>
          <w:i w:val="0"/>
          <w:sz w:val="22"/>
        </w:rPr>
        <w:t xml:space="preserve"> distingue las diferencias entre individuos, como edad, género o idioma, de las diferencias del entorno de origen. Por último, el </w:t>
      </w:r>
      <w:r>
        <w:rPr>
          <w:rFonts w:ascii="Calibri" w:hAnsi="Calibri" w:eastAsia="Calibri"/>
          <w:b/>
          <w:i w:val="0"/>
          <w:sz w:val="22"/>
        </w:rPr>
        <w:t>capital social</w:t>
      </w:r>
      <w:r>
        <w:rPr>
          <w:rFonts w:ascii="Calibri" w:hAnsi="Calibri" w:eastAsia="Calibri"/>
          <w:b w:val="0"/>
          <w:i w:val="0"/>
          <w:sz w:val="22"/>
        </w:rPr>
        <w:t xml:space="preserve"> son los recursos que una persona obtiene de su red de relaciones, entre ellos el aprendizaje de nuevas prácticas.</w:t>
      </w:r>
    </w:p>
    <w:p>
      <w:pPr>
        <w:keepNext/>
        <w:spacing w:before="220" w:after="120"/>
        <w:jc w:val="left"/>
      </w:pPr>
      <w:r>
        <w:rPr>
          <w:rFonts w:ascii="Calibri" w:hAnsi="Calibri" w:eastAsia="Calibri"/>
          <w:b/>
          <w:i w:val="0"/>
          <w:color w:val="1F3150"/>
          <w:sz w:val="26"/>
        </w:rPr>
        <w:t>3. Síntesis de las lecturas y los artículos de investigación</w:t>
      </w:r>
    </w:p>
    <w:p>
      <w:pPr>
        <w:spacing w:after="120"/>
        <w:jc w:val="both"/>
      </w:pPr>
      <w:r>
        <w:rPr>
          <w:rFonts w:ascii="Calibri" w:hAnsi="Calibri" w:eastAsia="Calibri"/>
          <w:b/>
          <w:i w:val="0"/>
          <w:sz w:val="22"/>
        </w:rPr>
        <w:t>Keyton y Beck (2023), capítulo 7: “Manejo de conflictos en grupos”.</w:t>
      </w:r>
      <w:r>
        <w:rPr>
          <w:rFonts w:ascii="Calibri" w:hAnsi="Calibri" w:eastAsia="Calibri"/>
          <w:b w:val="0"/>
          <w:i w:val="0"/>
          <w:sz w:val="22"/>
        </w:rPr>
        <w:t xml:space="preserve"> Su propósito es explicar por qué surgen los conflictos en los grupos y cómo pueden manejarse para que contribuyan al desempeño en lugar de dañarlo. Es un capítulo teórico de síntesis que integra investigación sobre comunicación grupal con casos aplicados. Sus planteamientos centrales son que el conflicto es inevitable en grupos interdependientes y no necesariamente negativo; que su efecto depende del tipo de conflicto y del estilo con que se maneje; y que la comunicación es a la vez la fuente del conflicto y la herramienta para resolverlo.</w:t>
      </w:r>
    </w:p>
    <w:p>
      <w:pPr>
        <w:spacing w:after="120"/>
        <w:jc w:val="both"/>
      </w:pPr>
      <w:r>
        <w:rPr>
          <w:rFonts w:ascii="Calibri" w:hAnsi="Calibri" w:eastAsia="Calibri"/>
          <w:b/>
          <w:i w:val="0"/>
          <w:sz w:val="22"/>
        </w:rPr>
        <w:t>Henderson, Stackman y Lindekilde (2018).</w:t>
      </w:r>
      <w:r>
        <w:rPr>
          <w:rFonts w:ascii="Calibri" w:hAnsi="Calibri" w:eastAsia="Calibri"/>
          <w:b w:val="0"/>
          <w:i w:val="0"/>
          <w:sz w:val="22"/>
        </w:rPr>
        <w:t xml:space="preserve"> El objetivo fue determinar si la inteligencia cultural modifica la manera en que las normas de comunicación influyen en el desempeño de equipos de proyecto globales. El diseño es un estudio de encuesta en equipos de proyecto virtuales de una multinacional de ingeniería y manufactura del norte de Europa, con operaciones en Europa, Asia y Norteamérica. Los resultados muestran que la alineación de normas de comunicación mejora el desempeño y la satisfacción a través de la claridad de rol, y que la motivación cultural refuerza ese efecto; los componentes de conocimiento y conducta, en cambio, no tuvieron un efecto significativo.</w:t>
      </w:r>
    </w:p>
    <w:p>
      <w:pPr>
        <w:spacing w:after="120"/>
        <w:jc w:val="both"/>
      </w:pPr>
      <w:r>
        <w:rPr>
          <w:rFonts w:ascii="Calibri" w:hAnsi="Calibri" w:eastAsia="Calibri"/>
          <w:b/>
          <w:i w:val="0"/>
          <w:sz w:val="22"/>
        </w:rPr>
        <w:t>Taras, Baack, Caprar, Dow, Froese, Jimenez y Magnusson (2019).</w:t>
      </w:r>
      <w:r>
        <w:rPr>
          <w:rFonts w:ascii="Calibri" w:hAnsi="Calibri" w:eastAsia="Calibri"/>
          <w:b w:val="0"/>
          <w:i w:val="0"/>
          <w:sz w:val="22"/>
        </w:rPr>
        <w:t xml:space="preserve"> El estudio busca separar los efectos de distintos tipos de diversidad, que la investigación previa solía analizar de a uno. Su diseño es cuantitativo, con datos de múltiples fuentes y momentos, de 5.728 personas en 804 equipos virtuales globales que desarrollaban proyectos de consultoría. Los resultados indican que la diversidad tiene efectos sustanciales, pero no en una sola dirección: la diversidad contextual favorece los resultados de la tarea, mientras que la diversidad personal perjudica los resultados psicológicos, como la satisfacción y la cohesión.</w:t>
      </w:r>
    </w:p>
    <w:p>
      <w:pPr>
        <w:spacing w:after="120"/>
        <w:jc w:val="both"/>
      </w:pPr>
      <w:r>
        <w:rPr>
          <w:rFonts w:ascii="Calibri" w:hAnsi="Calibri" w:eastAsia="Calibri"/>
          <w:b/>
          <w:i w:val="0"/>
          <w:sz w:val="22"/>
        </w:rPr>
        <w:t>Reddy et al. (2021).</w:t>
      </w:r>
      <w:r>
        <w:rPr>
          <w:rFonts w:ascii="Calibri" w:hAnsi="Calibri" w:eastAsia="Calibri"/>
          <w:b w:val="0"/>
          <w:i w:val="0"/>
          <w:sz w:val="22"/>
        </w:rPr>
        <w:t xml:space="preserve"> El propósito fue establecer si el capital social creado mediante las asignaciones a equipos de proyecto favorece la adopción de prácticas de sostenibilidad. El diseño combina una encuesta de red social y evidencia cualitativa en una gran organización, The Nature Conservancy. Los hallazgos muestran que los vínculos con compañeros de otras unidades son los más eficaces para adoptar prácticas complejas, porque combinan la exposición a ideas nuevas con el aprendizaje social en el trabajo diario.</w:t>
      </w:r>
    </w:p>
    <w:p>
      <w:pPr>
        <w:keepNext/>
        <w:spacing w:before="220" w:after="120"/>
        <w:jc w:val="left"/>
      </w:pPr>
      <w:r>
        <w:rPr>
          <w:rFonts w:ascii="Calibri" w:hAnsi="Calibri" w:eastAsia="Calibri"/>
          <w:b/>
          <w:i w:val="0"/>
          <w:color w:val="1F3150"/>
          <w:sz w:val="26"/>
        </w:rPr>
        <w:t>4. Conexiones con los constructos de los módulos anteriores</w:t>
      </w:r>
    </w:p>
    <w:p>
      <w:pPr>
        <w:spacing w:after="120"/>
        <w:jc w:val="both"/>
      </w:pPr>
      <w:r>
        <w:rPr>
          <w:rFonts w:ascii="Calibri" w:hAnsi="Calibri" w:eastAsia="Calibri"/>
          <w:b w:val="0"/>
          <w:i w:val="0"/>
          <w:sz w:val="22"/>
        </w:rPr>
        <w:t>La discusión mostró que el conflicto es el lugar donde se pone a prueba todo lo construido en los módulos anteriores. Del Módulo 1 proviene la seguridad psicológica: un conflicto de tarea solo es productivo si el equipo puede discrepar sin que el desacuerdo se lea como un ataque. Del Módulo 2 provienen el clima de comunicación y la confianza, que determinan si un conflicto se queda en la tarea o escala hacia lo relacional.</w:t>
      </w:r>
    </w:p>
    <w:p>
      <w:pPr>
        <w:spacing w:after="120"/>
        <w:jc w:val="both"/>
      </w:pPr>
      <w:r>
        <w:rPr>
          <w:rFonts w:ascii="Calibri" w:hAnsi="Calibri" w:eastAsia="Calibri"/>
          <w:b w:val="0"/>
          <w:i w:val="0"/>
          <w:sz w:val="22"/>
        </w:rPr>
        <w:t>Del Módulo 3 provienen dos antecedentes directos. El primero es el estudio de Tabassi, Abdullah y Bryde (2019), según el cual evitar el conflicto puede favorecer el desempeño de equipos temporales; este módulo permitió precisar cuándo se cumple esa idea. El segundo es el caso TechFin, que señalaba la falta de protocolos de mediación, un tema que el equipo había dejado pendiente. Del Módulo 4 proviene la elección del canal: los conflictos de este módulo nacieron, en parte, en el chat, el mismo canal que el equipo había identificado como pobre en matices.</w:t>
      </w:r>
    </w:p>
    <w:p>
      <w:pPr>
        <w:spacing w:after="120"/>
        <w:jc w:val="both"/>
      </w:pPr>
      <w:r>
        <w:rPr>
          <w:rFonts w:ascii="Calibri" w:hAnsi="Calibri" w:eastAsia="Calibri"/>
          <w:b w:val="0"/>
          <w:i w:val="0"/>
          <w:sz w:val="22"/>
        </w:rPr>
        <w:t>La conexión con la memoria transactiva del Módulo 4 resultó especialmente clara. El acuerdo de que cada tarea crítica tuviera una segunda persona capaz de realizarla fue, a la vez, una buena decisión y la fuente del principal conflicto del módulo, porque aprender una tarea ajena tiene un costo de tiempo que alguien debe asumir.</w:t>
      </w:r>
    </w:p>
    <w:p>
      <w:pPr>
        <w:keepNext/>
        <w:spacing w:before="220" w:after="120"/>
        <w:jc w:val="left"/>
      </w:pPr>
      <w:r>
        <w:rPr>
          <w:rFonts w:ascii="Calibri" w:hAnsi="Calibri" w:eastAsia="Calibri"/>
          <w:b/>
          <w:i w:val="0"/>
          <w:color w:val="1F3150"/>
          <w:sz w:val="26"/>
        </w:rPr>
        <w:t>5. Los hechos: qué ocurrió dentro del equipo</w:t>
      </w:r>
    </w:p>
    <w:p>
      <w:pPr>
        <w:spacing w:after="120"/>
        <w:jc w:val="both"/>
      </w:pPr>
      <w:r>
        <w:rPr>
          <w:rFonts w:ascii="Calibri" w:hAnsi="Calibri" w:eastAsia="Calibri"/>
          <w:b/>
          <w:i w:val="0"/>
          <w:sz w:val="22"/>
        </w:rPr>
        <w:t>Hecho 1. Balance de los acuerdos del Módulo 4.</w:t>
      </w:r>
      <w:r>
        <w:rPr>
          <w:rFonts w:ascii="Calibri" w:hAnsi="Calibri" w:eastAsia="Calibri"/>
          <w:b w:val="0"/>
          <w:i w:val="0"/>
          <w:sz w:val="22"/>
        </w:rPr>
        <w:t xml:space="preserve"> La ronda de información única al inicio de cada reunión se mantuvo y reveló un dato relevante sobre la fecha de entrega. El registro de cambios en el repositorio reemplazó al chat para las decisiones. La lista de verificación antes de entregar se aplicó sin problemas. El acuerdo de duplicar las tareas críticas se cumplió, pero generó la tensión que se describe a continuación.</w:t>
      </w:r>
    </w:p>
    <w:p>
      <w:pPr>
        <w:spacing w:after="120"/>
        <w:jc w:val="both"/>
      </w:pPr>
      <w:r>
        <w:rPr>
          <w:rFonts w:ascii="Calibri" w:hAnsi="Calibri" w:eastAsia="Calibri"/>
          <w:b/>
          <w:i w:val="0"/>
          <w:sz w:val="22"/>
        </w:rPr>
        <w:t>Hecho 2. Un conflicto de proceso.</w:t>
      </w:r>
      <w:r>
        <w:rPr>
          <w:rFonts w:ascii="Calibri" w:hAnsi="Calibri" w:eastAsia="Calibri"/>
          <w:b w:val="0"/>
          <w:i w:val="0"/>
          <w:sz w:val="22"/>
        </w:rPr>
        <w:t xml:space="preserve"> Para cumplir el acuerdo, Benjamín Peña asumió por primera vez la exportación del documento y el formato APA, acompañado por Cristóbal Hachim, que dominaba ambas tareas. El proceso tomó más del doble de lo previsto y la entrega quedó en riesgo. Cristóbal Hachim propuso por chat hacerlo él mismo “para no perder tiempo”, y Benjamín leyó el mensaje como un reproche. Durante un día ninguno de los dos volvió a escribir sobre el tema.</w:t>
      </w:r>
    </w:p>
    <w:p>
      <w:pPr>
        <w:spacing w:after="120"/>
        <w:jc w:val="both"/>
      </w:pPr>
      <w:r>
        <w:rPr>
          <w:rFonts w:ascii="Calibri" w:hAnsi="Calibri" w:eastAsia="Calibri"/>
          <w:b/>
          <w:i w:val="0"/>
          <w:sz w:val="22"/>
        </w:rPr>
        <w:t>Hecho 3. Desarrollo de la quinta sesión integradora.</w:t>
      </w:r>
      <w:r>
        <w:rPr>
          <w:rFonts w:ascii="Calibri" w:hAnsi="Calibri" w:eastAsia="Calibri"/>
          <w:b w:val="0"/>
          <w:i w:val="0"/>
          <w:sz w:val="22"/>
        </w:rPr>
        <w:t xml:space="preserve"> La sesión, con asistencia completa, la facilitó Francisco Morales. Tras presentar los constructos del capítulo 7, pidió a cada integrante que identificara su estilo habitual de manejo del conflicto. Tres se reconocieron en la evitación, uno en la competencia y uno en la acomodación; nadie se identificó con la colaboración. Con ese mapa a la vista, el facilitador propuso revisar el episodio del Hecho 2 como un caso, separando qué parte era conflicto de proceso y qué parte se había vuelto relacional.</w:t>
      </w:r>
    </w:p>
    <w:p>
      <w:pPr>
        <w:spacing w:after="120"/>
        <w:jc w:val="both"/>
      </w:pPr>
      <w:r>
        <w:rPr>
          <w:rFonts w:ascii="Calibri" w:hAnsi="Calibri" w:eastAsia="Calibri"/>
          <w:b/>
          <w:i w:val="0"/>
          <w:sz w:val="22"/>
        </w:rPr>
        <w:t>Hecho 4. Resultados y acuerdos de la sesión.</w:t>
      </w:r>
      <w:r>
        <w:rPr>
          <w:rFonts w:ascii="Calibri" w:hAnsi="Calibri" w:eastAsia="Calibri"/>
          <w:b w:val="0"/>
          <w:i w:val="0"/>
          <w:sz w:val="22"/>
        </w:rPr>
        <w:t xml:space="preserve"> Ambos involucrados reconocieron que el desacuerdo de fondo era legítimo: aprender una tarea y entregarla a tiempo eran metas en tensión. Lo que lo volvió relacional fue el canal y el tono. El equipo acordó mantener el aprendizaje cruzado, pero con un margen de tiempo explícito, y fijó normas para pasar del chat a una llamada cuando un tema se tensiona. La sesión terminó con la percepción de que el conflicto había fortalecido al grupo.</w:t>
      </w:r>
    </w:p>
    <w:p>
      <w:pPr>
        <w:keepNext/>
        <w:spacing w:before="220" w:after="120"/>
        <w:jc w:val="left"/>
      </w:pPr>
      <w:r>
        <w:rPr>
          <w:rFonts w:ascii="Calibri" w:hAnsi="Calibri" w:eastAsia="Calibri"/>
          <w:b/>
          <w:i w:val="0"/>
          <w:color w:val="1F3150"/>
          <w:sz w:val="26"/>
        </w:rPr>
        <w:t>6. Comparaciones: semejanzas y diferencias con la literatura</w:t>
      </w:r>
    </w:p>
    <w:p>
      <w:pPr>
        <w:spacing w:after="120"/>
        <w:jc w:val="both"/>
      </w:pPr>
      <w:r>
        <w:rPr>
          <w:rFonts w:ascii="Calibri" w:hAnsi="Calibri" w:eastAsia="Calibri"/>
          <w:b w:val="0"/>
          <w:i w:val="0"/>
          <w:sz w:val="22"/>
        </w:rPr>
        <w:t>Se contrastan a continuación tres experiencias relatadas en las lecturas y los artículos con las vivencias del equipo, indicando tres semejanzas o diferencias en cada caso.</w:t>
      </w:r>
    </w:p>
    <w:p>
      <w:pPr>
        <w:keepNext/>
        <w:spacing w:before="220" w:after="120"/>
        <w:jc w:val="left"/>
      </w:pPr>
      <w:r>
        <w:rPr>
          <w:rFonts w:ascii="Calibri" w:hAnsi="Calibri" w:eastAsia="Calibri"/>
          <w:b/>
          <w:i w:val="0"/>
          <w:color w:val="1F3150"/>
          <w:sz w:val="26"/>
        </w:rPr>
        <w:t>6.1. Tipos y estilos de conflicto (Keyton y Beck, 2023)</w:t>
      </w:r>
    </w:p>
    <w:p>
      <w:pPr>
        <w:spacing w:after="120"/>
        <w:jc w:val="both"/>
      </w:pPr>
      <w:r>
        <w:rPr>
          <w:rFonts w:ascii="Calibri" w:hAnsi="Calibri" w:eastAsia="Calibri"/>
          <w:b/>
          <w:i w:val="0"/>
          <w:sz w:val="22"/>
        </w:rPr>
        <w:t>Semejanza 1.</w:t>
      </w:r>
      <w:r>
        <w:rPr>
          <w:rFonts w:ascii="Calibri" w:hAnsi="Calibri" w:eastAsia="Calibri"/>
          <w:b w:val="0"/>
          <w:i w:val="0"/>
          <w:sz w:val="22"/>
        </w:rPr>
        <w:t xml:space="preserve"> El capítulo distingue el conflicto de proceso del relacional y advierte que el primero puede derivar en el segundo. El episodio del Hecho 2 siguió esa trayectoria: comenzó como una discusión sobre cómo organizar una tarea y se volvió personal por la forma en que se comunicó.</w:t>
      </w:r>
    </w:p>
    <w:p>
      <w:pPr>
        <w:spacing w:after="120"/>
        <w:jc w:val="both"/>
      </w:pPr>
      <w:r>
        <w:rPr>
          <w:rFonts w:ascii="Calibri" w:hAnsi="Calibri" w:eastAsia="Calibri"/>
          <w:b/>
          <w:i w:val="0"/>
          <w:sz w:val="22"/>
        </w:rPr>
        <w:t>Semejanza 2.</w:t>
      </w:r>
      <w:r>
        <w:rPr>
          <w:rFonts w:ascii="Calibri" w:hAnsi="Calibri" w:eastAsia="Calibri"/>
          <w:b w:val="0"/>
          <w:i w:val="0"/>
          <w:sz w:val="22"/>
        </w:rPr>
        <w:t xml:space="preserve"> Los autores sostienen que la colaboración produce las soluciones más duraderas. La solución acordada en la sesión, que preserva el aprendizaje y protege el plazo, solo apareció cuando el grupo dejó de elegir entre una meta y la otra y buscó satisfacer ambas.</w:t>
      </w:r>
    </w:p>
    <w:p>
      <w:pPr>
        <w:spacing w:after="120"/>
        <w:jc w:val="both"/>
      </w:pPr>
      <w:r>
        <w:rPr>
          <w:rFonts w:ascii="Calibri" w:hAnsi="Calibri" w:eastAsia="Calibri"/>
          <w:b/>
          <w:i w:val="0"/>
          <w:sz w:val="22"/>
        </w:rPr>
        <w:t>Diferencia 1.</w:t>
      </w:r>
      <w:r>
        <w:rPr>
          <w:rFonts w:ascii="Calibri" w:hAnsi="Calibri" w:eastAsia="Calibri"/>
          <w:b w:val="0"/>
          <w:i w:val="0"/>
          <w:sz w:val="22"/>
        </w:rPr>
        <w:t xml:space="preserve"> El capítulo presenta los estilos como tendencias de cada persona. En el Grupo 3 el estilo dominante fue colectivo: con tres integrantes que evitan, el equipo en su conjunto tiende a postergar los conflictos, y eso explica que el episodio quedara un día sin tratarse aunque todos lo conocían.</w:t>
      </w:r>
    </w:p>
    <w:p>
      <w:pPr>
        <w:keepNext/>
        <w:spacing w:before="220" w:after="120"/>
        <w:jc w:val="left"/>
      </w:pPr>
      <w:r>
        <w:rPr>
          <w:rFonts w:ascii="Calibri" w:hAnsi="Calibri" w:eastAsia="Calibri"/>
          <w:b/>
          <w:i w:val="0"/>
          <w:color w:val="1F3150"/>
          <w:sz w:val="26"/>
        </w:rPr>
        <w:t>6.2. Normas de comunicación e inteligencia cultural (Henderson, Stackman y Lindekilde, 2018)</w:t>
      </w:r>
    </w:p>
    <w:p>
      <w:pPr>
        <w:spacing w:after="120"/>
        <w:jc w:val="both"/>
      </w:pPr>
      <w:r>
        <w:rPr>
          <w:rFonts w:ascii="Calibri" w:hAnsi="Calibri" w:eastAsia="Calibri"/>
          <w:b/>
          <w:i w:val="0"/>
          <w:sz w:val="22"/>
        </w:rPr>
        <w:t>Semejanza 1.</w:t>
      </w:r>
      <w:r>
        <w:rPr>
          <w:rFonts w:ascii="Calibri" w:hAnsi="Calibri" w:eastAsia="Calibri"/>
          <w:b w:val="0"/>
          <w:i w:val="0"/>
          <w:sz w:val="22"/>
        </w:rPr>
        <w:t xml:space="preserve"> El estudio muestra que la alineación de normas de comunicación mejora el desempeño a través de la claridad de rol. El conflicto del equipo surgió justamente donde faltaban ambas: no había acuerdo sobre el tono del chat ni sobre quién era responsable final de la exportación durante el aprendizaje.</w:t>
      </w:r>
    </w:p>
    <w:p>
      <w:pPr>
        <w:spacing w:after="120"/>
        <w:jc w:val="both"/>
      </w:pPr>
      <w:r>
        <w:rPr>
          <w:rFonts w:ascii="Calibri" w:hAnsi="Calibri" w:eastAsia="Calibri"/>
          <w:b/>
          <w:i w:val="0"/>
          <w:sz w:val="22"/>
        </w:rPr>
        <w:t>Semejanza 2.</w:t>
      </w:r>
      <w:r>
        <w:rPr>
          <w:rFonts w:ascii="Calibri" w:hAnsi="Calibri" w:eastAsia="Calibri"/>
          <w:b w:val="0"/>
          <w:i w:val="0"/>
          <w:sz w:val="22"/>
        </w:rPr>
        <w:t xml:space="preserve"> Los autores encontraron que la motivación cultural, más que el conocimiento, marca la diferencia. El equipo constató algo análogo: conocer los estilos de conflicto de cada uno sirvió de poco hasta que los involucrados tuvieron la disposición de interpretar el mensaje del otro con buena fe.</w:t>
      </w:r>
    </w:p>
    <w:p>
      <w:pPr>
        <w:spacing w:after="120"/>
        <w:jc w:val="both"/>
      </w:pPr>
      <w:r>
        <w:rPr>
          <w:rFonts w:ascii="Calibri" w:hAnsi="Calibri" w:eastAsia="Calibri"/>
          <w:b/>
          <w:i w:val="0"/>
          <w:sz w:val="22"/>
        </w:rPr>
        <w:t>Diferencia 1.</w:t>
      </w:r>
      <w:r>
        <w:rPr>
          <w:rFonts w:ascii="Calibri" w:hAnsi="Calibri" w:eastAsia="Calibri"/>
          <w:b w:val="0"/>
          <w:i w:val="0"/>
          <w:sz w:val="22"/>
        </w:rPr>
        <w:t xml:space="preserve"> El estudio analiza equipos de varios países, con diferencias culturales nacionales. El Grupo 3 comparte país e idioma, pero sus integrantes traen culturas laborales distintas sobre la urgencia, el tono y los tiempos de respuesta. La literatura sitúa la diversidad cultural entre naciones; la experiencia mostró que también existe dentro de un equipo homogéneo en apariencia.</w:t>
      </w:r>
    </w:p>
    <w:p>
      <w:pPr>
        <w:keepNext/>
        <w:spacing w:before="220" w:after="120"/>
        <w:jc w:val="left"/>
      </w:pPr>
      <w:r>
        <w:rPr>
          <w:rFonts w:ascii="Calibri" w:hAnsi="Calibri" w:eastAsia="Calibri"/>
          <w:b/>
          <w:i w:val="0"/>
          <w:color w:val="1F3150"/>
          <w:sz w:val="26"/>
        </w:rPr>
        <w:t>6.3. Diversidad y capital social (Taras et al., 2019; Reddy et al., 2021)</w:t>
      </w:r>
    </w:p>
    <w:p>
      <w:pPr>
        <w:spacing w:after="120"/>
        <w:jc w:val="both"/>
      </w:pPr>
      <w:r>
        <w:rPr>
          <w:rFonts w:ascii="Calibri" w:hAnsi="Calibri" w:eastAsia="Calibri"/>
          <w:b/>
          <w:i w:val="0"/>
          <w:sz w:val="22"/>
        </w:rPr>
        <w:t>Semejanza 1.</w:t>
      </w:r>
      <w:r>
        <w:rPr>
          <w:rFonts w:ascii="Calibri" w:hAnsi="Calibri" w:eastAsia="Calibri"/>
          <w:b w:val="0"/>
          <w:i w:val="0"/>
          <w:sz w:val="22"/>
        </w:rPr>
        <w:t xml:space="preserve"> Taras y sus colegas muestran que la diversidad puede mejorar la tarea y, al mismo tiempo, deteriorar la experiencia del equipo. La diversidad de estilos del grupo produjo ambos efectos: generó fricción entre dos integrantes y, a la vez, una solución mejor que la que habría propuesto cualquiera por separado.</w:t>
      </w:r>
    </w:p>
    <w:p>
      <w:pPr>
        <w:spacing w:after="120"/>
        <w:jc w:val="both"/>
      </w:pPr>
      <w:r>
        <w:rPr>
          <w:rFonts w:ascii="Calibri" w:hAnsi="Calibri" w:eastAsia="Calibri"/>
          <w:b/>
          <w:i w:val="0"/>
          <w:sz w:val="22"/>
        </w:rPr>
        <w:t>Semejanza 2.</w:t>
      </w:r>
      <w:r>
        <w:rPr>
          <w:rFonts w:ascii="Calibri" w:hAnsi="Calibri" w:eastAsia="Calibri"/>
          <w:b w:val="0"/>
          <w:i w:val="0"/>
          <w:sz w:val="22"/>
        </w:rPr>
        <w:t xml:space="preserve"> Reddy y sus colegas encuentran que las prácticas complejas se adoptan mejor aprendiendo de compañeros que ya las aplican. El aprendizaje cruzado del equipo siguió esa lógica: Benjamín aprendió la exportación y el formato junto a quien ya los dominaba, y no a partir de un instructivo.</w:t>
      </w:r>
    </w:p>
    <w:p>
      <w:pPr>
        <w:spacing w:after="120"/>
        <w:jc w:val="both"/>
      </w:pPr>
      <w:r>
        <w:rPr>
          <w:rFonts w:ascii="Calibri" w:hAnsi="Calibri" w:eastAsia="Calibri"/>
          <w:b/>
          <w:i w:val="0"/>
          <w:sz w:val="22"/>
        </w:rPr>
        <w:t>Diferencia 1.</w:t>
      </w:r>
      <w:r>
        <w:rPr>
          <w:rFonts w:ascii="Calibri" w:hAnsi="Calibri" w:eastAsia="Calibri"/>
          <w:b w:val="0"/>
          <w:i w:val="0"/>
          <w:sz w:val="22"/>
        </w:rPr>
        <w:t xml:space="preserve"> En el estudio de Reddy, los vínculos más valiosos son los que conectan unidades distintas de una organización, porque traen prácticas nuevas. El Grupo 3 es una red cerrada, sin vínculos externos, y las ideas nuevas le llegan solo de las lecturas. El equipo reconoció que eso limita su aprendizaje.</w:t>
      </w:r>
    </w:p>
    <w:p>
      <w:pPr>
        <w:keepNext/>
        <w:spacing w:before="220" w:after="120"/>
        <w:jc w:val="left"/>
      </w:pPr>
      <w:r>
        <w:rPr>
          <w:rFonts w:ascii="Calibri" w:hAnsi="Calibri" w:eastAsia="Calibri"/>
          <w:b/>
          <w:i w:val="0"/>
          <w:color w:val="1F3150"/>
          <w:sz w:val="26"/>
        </w:rPr>
        <w:t>7. Oportunidades de crecimiento y cambio</w:t>
      </w:r>
    </w:p>
    <w:p>
      <w:pPr>
        <w:spacing w:after="120"/>
        <w:jc w:val="both"/>
      </w:pPr>
      <w:r>
        <w:rPr>
          <w:rFonts w:ascii="Calibri" w:hAnsi="Calibri" w:eastAsia="Calibri"/>
          <w:b/>
          <w:i w:val="0"/>
          <w:sz w:val="22"/>
        </w:rPr>
        <w:t>Oportunidad 1. Nombrar el tipo de conflicto antes de discutirlo.</w:t>
      </w:r>
      <w:r>
        <w:rPr>
          <w:rFonts w:ascii="Calibri" w:hAnsi="Calibri" w:eastAsia="Calibri"/>
          <w:b w:val="0"/>
          <w:i w:val="0"/>
          <w:sz w:val="22"/>
        </w:rPr>
        <w:t xml:space="preserve"> Cuando surja un desacuerdo, el primer paso será identificar si es de tarea, de proceso o relacional, porque cada uno requiere un tratamiento distinto. La práctica es simple y trasladable a cualquier equipo de trabajo.</w:t>
      </w:r>
    </w:p>
    <w:p>
      <w:pPr>
        <w:spacing w:after="120"/>
        <w:jc w:val="both"/>
      </w:pPr>
      <w:r>
        <w:rPr>
          <w:rFonts w:ascii="Calibri" w:hAnsi="Calibri" w:eastAsia="Calibri"/>
          <w:b/>
          <w:i w:val="0"/>
          <w:sz w:val="22"/>
        </w:rPr>
        <w:t>Oportunidad 2. Normas de comunicación explícitas.</w:t>
      </w:r>
      <w:r>
        <w:rPr>
          <w:rFonts w:ascii="Calibri" w:hAnsi="Calibri" w:eastAsia="Calibri"/>
          <w:b w:val="0"/>
          <w:i w:val="0"/>
          <w:sz w:val="22"/>
        </w:rPr>
        <w:t xml:space="preserve"> El equipo acordó tiempos de respuesta esperados, que los desacuerdos no se resuelvan por chat y que cualquier integrante pueda pedir una llamada breve cuando un tema se tensione. Personalmente, varios reconocieron que habían atribuido intención a mensajes que solo eran breves.</w:t>
      </w:r>
    </w:p>
    <w:p>
      <w:pPr>
        <w:spacing w:after="120"/>
        <w:jc w:val="both"/>
      </w:pPr>
      <w:r>
        <w:rPr>
          <w:rFonts w:ascii="Calibri" w:hAnsi="Calibri" w:eastAsia="Calibri"/>
          <w:b/>
          <w:i w:val="0"/>
          <w:sz w:val="22"/>
        </w:rPr>
        <w:t>Oportunidad 3. Un protocolo de mediación.</w:t>
      </w:r>
      <w:r>
        <w:rPr>
          <w:rFonts w:ascii="Calibri" w:hAnsi="Calibri" w:eastAsia="Calibri"/>
          <w:b w:val="0"/>
          <w:i w:val="0"/>
          <w:sz w:val="22"/>
        </w:rPr>
        <w:t xml:space="preserve"> Retomando el tema pendiente del caso TechFin, el facilitador de turno actuará como mediador cuando dos integrantes estén en desacuerdo. Primero escuchará a cada uno por separado, luego reformulará el problema en términos de metas compartidas y finalmente propondrá al menos una alternativa que satisfaga ambas. Además, como el estilo colaborativo no surge de manera natural en el grupo, el equipo lo practicará deliberadamente.</w:t>
      </w:r>
    </w:p>
    <w:p>
      <w:pPr>
        <w:spacing w:after="120"/>
        <w:jc w:val="both"/>
      </w:pPr>
      <w:r>
        <w:rPr>
          <w:rFonts w:ascii="Calibri" w:hAnsi="Calibri" w:eastAsia="Calibri"/>
          <w:b/>
          <w:i w:val="0"/>
          <w:sz w:val="22"/>
        </w:rPr>
        <w:t>Oportunidad 4. Aprendizaje cruzado con margen y vínculos externos.</w:t>
      </w:r>
      <w:r>
        <w:rPr>
          <w:rFonts w:ascii="Calibri" w:hAnsi="Calibri" w:eastAsia="Calibri"/>
          <w:b w:val="0"/>
          <w:i w:val="0"/>
          <w:sz w:val="22"/>
        </w:rPr>
        <w:t xml:space="preserve"> El aprendizaje de tareas críticas continuará, pero con un margen de tiempo explícito en la planificación y con la responsabilidad final definida de antemano. El grupo identificó también lo que necesita aprender: cómo prevenir la escalada de un conflicto en equipos que trabajan en línea y cómo desarrollar la inteligencia cultural antes de integrarse a equipos internacionales en su vida profesional.</w:t>
      </w:r>
    </w:p>
    <w:p>
      <w:pPr>
        <w:keepNext/>
        <w:spacing w:before="220" w:after="120"/>
        <w:jc w:val="left"/>
      </w:pPr>
      <w:r>
        <w:rPr>
          <w:rFonts w:ascii="Calibri" w:hAnsi="Calibri" w:eastAsia="Calibri"/>
          <w:b/>
          <w:i w:val="0"/>
          <w:color w:val="1F3150"/>
          <w:sz w:val="26"/>
        </w:rPr>
        <w:t>8. Conclusión</w:t>
      </w:r>
    </w:p>
    <w:p>
      <w:pPr>
        <w:spacing w:after="120"/>
        <w:jc w:val="both"/>
      </w:pPr>
      <w:r>
        <w:rPr>
          <w:rFonts w:ascii="Calibri" w:hAnsi="Calibri" w:eastAsia="Calibri"/>
          <w:b w:val="0"/>
          <w:i w:val="0"/>
          <w:sz w:val="22"/>
        </w:rPr>
        <w:t>La quinta discusión integradora mostró al Grupo 3 que el conflicto no es una falla del sistema, sino una consecuencia de que el sistema funcione: el desacuerdo de este módulo nació de cumplir un acuerdo del anterior. Lo que determinó su efecto no fue la existencia del conflicto, sino el tipo, el canal y el estilo con que se enfrentó. El equipo descubrió además que su tendencia a evitar, que en módulos anteriores había parecido prudencia, es un rasgo colectivo que debe compensar con prácticas explícitas. A lo largo de cinco módulos, el grupo ha acordado cómo conducirse, cómo vincularse, cómo decidir, cómo compartir lo que sabe y, ahora, cómo discrepar. Cada capa depende de las anteriores, y el aprendizaje más duradero es que todas pueden diseñarse de manera deliberada. Estos acuerdos se mantendrán en lo que resta de la asignatura y se proyectan al trabajo profesional de cada integrante.</w:t>
      </w:r>
    </w:p>
    <w:p>
      <w:pPr>
        <w:keepNext/>
        <w:spacing w:before="220" w:after="120"/>
        <w:jc w:val="left"/>
      </w:pPr>
      <w:r>
        <w:rPr>
          <w:rFonts w:ascii="Calibri" w:hAnsi="Calibri" w:eastAsia="Calibri"/>
          <w:b/>
          <w:i w:val="0"/>
          <w:color w:val="1F3150"/>
          <w:sz w:val="26"/>
        </w:rPr>
        <w:t>Referencias</w:t>
      </w:r>
    </w:p>
    <w:p>
      <w:pPr>
        <w:spacing w:after="160"/>
        <w:ind w:left="720" w:hanging="720"/>
        <w:jc w:val="left"/>
      </w:pPr>
      <w:r>
        <w:rPr>
          <w:rFonts w:ascii="Calibri" w:hAnsi="Calibri" w:eastAsia="Calibri"/>
          <w:b w:val="0"/>
          <w:i w:val="0"/>
          <w:sz w:val="22"/>
        </w:rPr>
        <w:t xml:space="preserve">Henderson, L. S., Stackman, R. W., &amp; Lindekilde, R. (2018). Why cultural intelligence matters on global project teams. </w:t>
      </w:r>
      <w:r>
        <w:rPr>
          <w:rFonts w:ascii="Calibri" w:hAnsi="Calibri" w:eastAsia="Calibri"/>
          <w:b w:val="0"/>
          <w:i/>
          <w:sz w:val="22"/>
        </w:rPr>
        <w:t>International Journal of Project Management, 36</w:t>
      </w:r>
      <w:r>
        <w:rPr>
          <w:rFonts w:ascii="Calibri" w:hAnsi="Calibri" w:eastAsia="Calibri"/>
          <w:b w:val="0"/>
          <w:i w:val="0"/>
          <w:sz w:val="22"/>
        </w:rPr>
        <w:t>(7), 954–967. https://doi.org/10.1016/j.ijproman.2018.06.001</w:t>
      </w:r>
    </w:p>
    <w:p>
      <w:pPr>
        <w:spacing w:after="160"/>
        <w:ind w:left="720" w:hanging="720"/>
        <w:jc w:val="left"/>
      </w:pPr>
      <w:r>
        <w:rPr>
          <w:rFonts w:ascii="Calibri" w:hAnsi="Calibri" w:eastAsia="Calibri"/>
          <w:b w:val="0"/>
          <w:i w:val="0"/>
          <w:sz w:val="22"/>
        </w:rPr>
        <w:t xml:space="preserve">Keyton, J., &amp; Beck, S. J. (2023). </w:t>
      </w:r>
      <w:r>
        <w:rPr>
          <w:rFonts w:ascii="Calibri" w:hAnsi="Calibri" w:eastAsia="Calibri"/>
          <w:b w:val="0"/>
          <w:i/>
          <w:sz w:val="22"/>
        </w:rPr>
        <w:t>Communicating in groups and teams: Strategic interactions</w:t>
      </w:r>
      <w:r>
        <w:rPr>
          <w:rFonts w:ascii="Calibri" w:hAnsi="Calibri" w:eastAsia="Calibri"/>
          <w:b w:val="0"/>
          <w:i w:val="0"/>
          <w:sz w:val="22"/>
        </w:rPr>
        <w:t xml:space="preserve"> (5.ª ed.). Cognella Academic Publishing.</w:t>
      </w:r>
    </w:p>
    <w:p>
      <w:pPr>
        <w:spacing w:after="160"/>
        <w:ind w:left="720" w:hanging="720"/>
        <w:jc w:val="left"/>
      </w:pPr>
      <w:r>
        <w:rPr>
          <w:rFonts w:ascii="Calibri" w:hAnsi="Calibri" w:eastAsia="Calibri"/>
          <w:b w:val="0"/>
          <w:i w:val="0"/>
          <w:sz w:val="22"/>
        </w:rPr>
        <w:t xml:space="preserve">Reddy, S. M. W., Torphy, K., Liu, Y., Chen, T., Masuda, Y. J., Fisher, J. R. B., Galey, S., Burford, K., Frank, K. A., &amp; Montambault, J. R. (2021). How different forms of social capital created through project team assignments influence employee adoption of sustainability practices. </w:t>
      </w:r>
      <w:r>
        <w:rPr>
          <w:rFonts w:ascii="Calibri" w:hAnsi="Calibri" w:eastAsia="Calibri"/>
          <w:b w:val="0"/>
          <w:i/>
          <w:sz w:val="22"/>
        </w:rPr>
        <w:t>Organization &amp; Environment, 34</w:t>
      </w:r>
      <w:r>
        <w:rPr>
          <w:rFonts w:ascii="Calibri" w:hAnsi="Calibri" w:eastAsia="Calibri"/>
          <w:b w:val="0"/>
          <w:i w:val="0"/>
          <w:sz w:val="22"/>
        </w:rPr>
        <w:t>(1), 43–73. https://doi.org/10.1177/1086026619880343</w:t>
      </w:r>
    </w:p>
    <w:p>
      <w:pPr>
        <w:spacing w:after="160"/>
        <w:ind w:left="720" w:hanging="720"/>
        <w:jc w:val="left"/>
      </w:pPr>
      <w:r>
        <w:rPr>
          <w:rFonts w:ascii="Calibri" w:hAnsi="Calibri" w:eastAsia="Calibri"/>
          <w:b w:val="0"/>
          <w:i w:val="0"/>
          <w:sz w:val="22"/>
        </w:rPr>
        <w:t xml:space="preserve">Tabassi, A. A., Abdullah, A., &amp; Bryde, D. J. (2019). Conflict management, team coordination, and performance within multicultural temporary projects: Evidence from the construction industry. </w:t>
      </w:r>
      <w:r>
        <w:rPr>
          <w:rFonts w:ascii="Calibri" w:hAnsi="Calibri" w:eastAsia="Calibri"/>
          <w:b w:val="0"/>
          <w:i/>
          <w:sz w:val="22"/>
        </w:rPr>
        <w:t>Project Management Journal, 50</w:t>
      </w:r>
      <w:r>
        <w:rPr>
          <w:rFonts w:ascii="Calibri" w:hAnsi="Calibri" w:eastAsia="Calibri"/>
          <w:b w:val="0"/>
          <w:i w:val="0"/>
          <w:sz w:val="22"/>
        </w:rPr>
        <w:t>(1), 101–114. https://doi.org/10.1177/8756972818818257</w:t>
      </w:r>
    </w:p>
    <w:p>
      <w:pPr>
        <w:spacing w:after="160"/>
        <w:ind w:left="720" w:hanging="720"/>
        <w:jc w:val="left"/>
      </w:pPr>
      <w:r>
        <w:rPr>
          <w:rFonts w:ascii="Calibri" w:hAnsi="Calibri" w:eastAsia="Calibri"/>
          <w:b w:val="0"/>
          <w:i w:val="0"/>
          <w:sz w:val="22"/>
        </w:rPr>
        <w:t xml:space="preserve">Taras, V., Baack, D., Caprar, D., Dow, D., Froese, F., Jimenez, A., &amp; Magnusson, P. (2019). Diverse effects of diversity: Disaggregating effects of diversity in global virtual teams. </w:t>
      </w:r>
      <w:r>
        <w:rPr>
          <w:rFonts w:ascii="Calibri" w:hAnsi="Calibri" w:eastAsia="Calibri"/>
          <w:b w:val="0"/>
          <w:i/>
          <w:sz w:val="22"/>
        </w:rPr>
        <w:t>Journal of International Management, 25</w:t>
      </w:r>
      <w:r>
        <w:rPr>
          <w:rFonts w:ascii="Calibri" w:hAnsi="Calibri" w:eastAsia="Calibri"/>
          <w:b w:val="0"/>
          <w:i w:val="0"/>
          <w:sz w:val="22"/>
        </w:rPr>
        <w:t>(4), 100689. https://doi.org/10.1016/j.intman.2019.100689</w:t>
      </w:r>
    </w:p>
    <w:sectPr w:rsidR="00FC693F" w:rsidRPr="0006063C" w:rsidSect="00034616">
      <w:headerReference w:type="default" r:id="rId9"/>
      <w:footerReference w:type="default" r:id="rId10"/>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b w:val="0"/>
        <w:i w:val="0"/>
        <w:color w:val="606060"/>
        <w:sz w:val="18"/>
      </w:rPr>
      <w:t xml:space="preserve">Página </w:t>
    </w:r>
    <w:r>
      <w:rPr>
        <w:rFonts w:ascii="Calibri" w:hAnsi="Calibri" w:eastAsia="Calibri"/>
        <w:b w:val="0"/>
        <w:i w:val="0"/>
        <w:color w:val="606060"/>
        <w:sz w:val="18"/>
      </w:rPr>
      <w:fldChar w:fldCharType="begin"/>
    </w:r>
    <w:r>
      <w:rPr>
        <w:rFonts w:ascii="Calibri" w:hAnsi="Calibri" w:eastAsia="Calibri"/>
        <w:b w:val="0"/>
        <w:i w:val="0"/>
        <w:color w:val="606060"/>
        <w:sz w:val="18"/>
      </w:rPr>
      <w:instrText xml:space="preserve"> PAGE </w:instrText>
    </w:r>
    <w:r>
      <w:rPr>
        <w:rFonts w:ascii="Calibri" w:hAnsi="Calibri" w:eastAsia="Calibri"/>
        <w:b w:val="0"/>
        <w:i w:val="0"/>
        <w:color w:val="60606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0000" cy="408672"/>
          <wp:docPr id="1" name="Picture 1"/>
          <wp:cNvGraphicFramePr>
            <a:graphicFrameLocks noChangeAspect="1"/>
          </wp:cNvGraphicFramePr>
          <a:graphic>
            <a:graphicData uri="http://schemas.openxmlformats.org/drawingml/2006/picture">
              <pic:pic>
                <pic:nvPicPr>
                  <pic:cNvPr id="0" name="image3.png"/>
                  <pic:cNvPicPr/>
                </pic:nvPicPr>
                <pic:blipFill>
                  <a:blip r:embed="rId1"/>
                  <a:stretch>
                    <a:fillRect/>
                  </a:stretch>
                </pic:blipFill>
                <pic:spPr>
                  <a:xfrm>
                    <a:off x="0" y="0"/>
                    <a:ext cx="5940000" cy="4086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PMG531_M5_Grupo_03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