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600"/>
        <w:jc w:val="center"/>
      </w:pPr>
      <w:r/>
    </w:p>
    <w:p>
      <w:pPr>
        <w:spacing w:after="80"/>
        <w:jc w:val="center"/>
      </w:pPr>
      <w:r>
        <w:rPr>
          <w:rFonts w:ascii="Calibri" w:hAnsi="Calibri" w:eastAsia="Calibri"/>
          <w:b/>
          <w:i w:val="0"/>
          <w:color w:val="1F3150"/>
          <w:sz w:val="44"/>
        </w:rPr>
        <w:t>LIDERAZGO DE EQUIPOS</w:t>
      </w:r>
    </w:p>
    <w:p>
      <w:pPr>
        <w:spacing w:after="40"/>
        <w:jc w:val="center"/>
      </w:pPr>
      <w:r>
        <w:rPr>
          <w:rFonts w:ascii="Calibri" w:hAnsi="Calibri" w:eastAsia="Calibri"/>
          <w:b w:val="0"/>
          <w:i w:val="0"/>
          <w:sz w:val="28"/>
        </w:rPr>
        <w:t>Acta de la discusión integradora de equipo</w:t>
      </w:r>
    </w:p>
    <w:p>
      <w:pPr>
        <w:spacing w:after="920"/>
        <w:jc w:val="center"/>
      </w:pPr>
      <w:r>
        <w:rPr>
          <w:rFonts w:ascii="Calibri" w:hAnsi="Calibri" w:eastAsia="Calibri"/>
          <w:b w:val="0"/>
          <w:i w:val="0"/>
          <w:color w:val="555555"/>
          <w:sz w:val="24"/>
        </w:rPr>
        <w:t>Módulo 4 · Evaluación Sumativa 8 · Grupo 3</w:t>
      </w:r>
    </w:p>
    <w:p>
      <w:pPr>
        <w:spacing w:after="40"/>
        <w:jc w:val="center"/>
      </w:pPr>
      <w:r>
        <w:rPr>
          <w:rFonts w:ascii="Calibri" w:hAnsi="Calibri" w:eastAsia="Calibri"/>
          <w:b/>
          <w:i w:val="0"/>
          <w:sz w:val="22"/>
        </w:rPr>
        <w:t xml:space="preserve">Integrantes: </w:t>
      </w:r>
      <w:r>
        <w:rPr>
          <w:rFonts w:ascii="Calibri" w:hAnsi="Calibri" w:eastAsia="Calibri"/>
          <w:b w:val="0"/>
          <w:i w:val="0"/>
          <w:sz w:val="22"/>
        </w:rPr>
        <w:t>Benjamín Peña Diaz</w:t>
      </w:r>
    </w:p>
    <w:p>
      <w:pPr>
        <w:spacing w:after="40"/>
        <w:jc w:val="center"/>
      </w:pPr>
      <w:r>
        <w:rPr>
          <w:rFonts w:ascii="Calibri" w:hAnsi="Calibri" w:eastAsia="Calibri"/>
          <w:b w:val="0"/>
          <w:i w:val="0"/>
          <w:sz w:val="22"/>
        </w:rPr>
        <w:t>Cristóbal Flores Villegas</w:t>
      </w:r>
    </w:p>
    <w:p>
      <w:pPr>
        <w:spacing w:after="40"/>
        <w:jc w:val="center"/>
      </w:pPr>
      <w:r>
        <w:rPr>
          <w:rFonts w:ascii="Calibri" w:hAnsi="Calibri" w:eastAsia="Calibri"/>
          <w:b w:val="0"/>
          <w:i w:val="0"/>
          <w:sz w:val="22"/>
        </w:rPr>
        <w:t>Cristóbal Hachim Sánchez</w:t>
      </w:r>
    </w:p>
    <w:p>
      <w:pPr>
        <w:spacing w:after="40"/>
        <w:jc w:val="center"/>
      </w:pPr>
      <w:r>
        <w:rPr>
          <w:rFonts w:ascii="Calibri" w:hAnsi="Calibri" w:eastAsia="Calibri"/>
          <w:b w:val="0"/>
          <w:i w:val="0"/>
          <w:sz w:val="22"/>
        </w:rPr>
        <w:t>Cristopher Arredondo Canchis</w:t>
      </w:r>
    </w:p>
    <w:p>
      <w:pPr>
        <w:spacing w:after="40"/>
        <w:jc w:val="center"/>
      </w:pPr>
      <w:r>
        <w:rPr>
          <w:rFonts w:ascii="Calibri" w:hAnsi="Calibri" w:eastAsia="Calibri"/>
          <w:b w:val="0"/>
          <w:i w:val="0"/>
          <w:sz w:val="22"/>
        </w:rPr>
        <w:t>Francisco Morales Díaz</w:t>
      </w:r>
    </w:p>
    <w:p>
      <w:pPr>
        <w:spacing w:after="200"/>
      </w:pPr>
    </w:p>
    <w:p>
      <w:pPr>
        <w:spacing w:after="40"/>
        <w:jc w:val="center"/>
      </w:pPr>
      <w:r>
        <w:rPr>
          <w:rFonts w:ascii="Calibri" w:hAnsi="Calibri" w:eastAsia="Calibri"/>
          <w:b/>
          <w:i w:val="0"/>
          <w:sz w:val="22"/>
        </w:rPr>
        <w:t xml:space="preserve">Asignatura: </w:t>
      </w:r>
      <w:r>
        <w:rPr>
          <w:rFonts w:ascii="Calibri" w:hAnsi="Calibri" w:eastAsia="Calibri"/>
          <w:b w:val="0"/>
          <w:i w:val="0"/>
          <w:sz w:val="22"/>
        </w:rPr>
        <w:t>Liderando Equipos Integradores (PMG531)</w:t>
      </w:r>
    </w:p>
    <w:p>
      <w:pPr>
        <w:spacing w:after="40"/>
        <w:jc w:val="center"/>
      </w:pPr>
      <w:r>
        <w:rPr>
          <w:rFonts w:ascii="Calibri" w:hAnsi="Calibri" w:eastAsia="Calibri"/>
          <w:b/>
          <w:i w:val="0"/>
          <w:sz w:val="22"/>
        </w:rPr>
        <w:t xml:space="preserve">NRC: </w:t>
      </w:r>
      <w:r>
        <w:rPr>
          <w:rFonts w:ascii="Calibri" w:hAnsi="Calibri" w:eastAsia="Calibri"/>
          <w:b w:val="0"/>
          <w:i w:val="0"/>
          <w:sz w:val="22"/>
        </w:rPr>
        <w:t>12109 — Sección 550</w:t>
      </w:r>
    </w:p>
    <w:p>
      <w:pPr>
        <w:spacing w:after="40"/>
        <w:jc w:val="center"/>
      </w:pPr>
      <w:r>
        <w:rPr>
          <w:rFonts w:ascii="Calibri" w:hAnsi="Calibri" w:eastAsia="Calibri"/>
          <w:b/>
          <w:i w:val="0"/>
          <w:sz w:val="22"/>
        </w:rPr>
        <w:t xml:space="preserve">Docente: </w:t>
      </w:r>
      <w:r>
        <w:rPr>
          <w:rFonts w:ascii="Calibri" w:hAnsi="Calibri" w:eastAsia="Calibri"/>
          <w:b w:val="0"/>
          <w:i w:val="0"/>
          <w:sz w:val="22"/>
        </w:rPr>
        <w:t>María Jesús Céspedes</w:t>
      </w:r>
    </w:p>
    <w:p>
      <w:pPr>
        <w:spacing w:after="40"/>
        <w:jc w:val="center"/>
      </w:pPr>
      <w:r>
        <w:rPr>
          <w:rFonts w:ascii="Calibri" w:hAnsi="Calibri" w:eastAsia="Calibri"/>
          <w:b/>
          <w:i w:val="0"/>
          <w:sz w:val="22"/>
        </w:rPr>
        <w:t xml:space="preserve">Correo docente: </w:t>
      </w:r>
      <w:r>
        <w:rPr>
          <w:rFonts w:ascii="Calibri" w:hAnsi="Calibri" w:eastAsia="Calibri"/>
          <w:b w:val="0"/>
          <w:i w:val="0"/>
          <w:sz w:val="22"/>
        </w:rPr>
        <w:t>m.cespedesstuven@uandresbello.edu</w:t>
      </w:r>
    </w:p>
    <w:p>
      <w:pPr>
        <w:spacing w:after="40"/>
        <w:jc w:val="center"/>
      </w:pPr>
      <w:r>
        <w:rPr>
          <w:rFonts w:ascii="Calibri" w:hAnsi="Calibri" w:eastAsia="Calibri"/>
          <w:b/>
          <w:i w:val="0"/>
          <w:sz w:val="22"/>
        </w:rPr>
        <w:t xml:space="preserve">Fecha de entrega: </w:t>
      </w:r>
      <w:r>
        <w:rPr>
          <w:rFonts w:ascii="Calibri" w:hAnsi="Calibri" w:eastAsia="Calibri"/>
          <w:b w:val="0"/>
          <w:i w:val="0"/>
          <w:sz w:val="22"/>
        </w:rPr>
        <w:t>23 de noviembre de 2026</w:t>
      </w:r>
    </w:p>
    <w:p>
      <w:r/>
    </w:p>
    <w:p>
      <w:pPr>
        <w:keepNext/>
        <w:spacing w:before="0" w:after="120"/>
        <w:jc w:val="left"/>
      </w:pPr>
      <w:r>
        <w:rPr>
          <w:rFonts w:ascii="Calibri" w:hAnsi="Calibri" w:eastAsia="Calibri"/>
          <w:b/>
          <w:i w:val="0"/>
          <w:color w:val="1F3150"/>
          <w:sz w:val="26"/>
        </w:rPr>
        <w:t>1. Antecedentes de la sesión</w:t>
      </w:r>
    </w:p>
    <w:tbl>
      <w:tblPr>
        <w:tblStyle w:val="TableGrid"/>
        <w:tblW w:type="auto" w:w="0"/>
        <w:jc w:val="center"/>
        <w:tblLook w:firstColumn="1" w:firstRow="1" w:lastColumn="0" w:lastRow="0" w:noHBand="0" w:noVBand="1" w:val="04A0"/>
      </w:tblPr>
      <w:tblGrid>
        <w:gridCol w:w="4680"/>
        <w:gridCol w:w="4680"/>
      </w:tblGrid>
      <w:tr>
        <w:tc>
          <w:tcPr>
            <w:tcW w:type="dxa" w:w="2608"/>
            <w:shd w:val="clear" w:fill="F2F4F8"/>
          </w:tcPr>
          <w:p>
            <w:pPr>
              <w:spacing w:line="240" w:lineRule="auto" w:before="40" w:after="40"/>
              <w:jc w:val="left"/>
            </w:pPr>
            <w:r>
              <w:rPr>
                <w:rFonts w:ascii="Calibri" w:hAnsi="Calibri" w:eastAsia="Calibri"/>
                <w:b/>
                <w:i w:val="0"/>
                <w:sz w:val="20"/>
              </w:rPr>
              <w:t>Equipo</w:t>
            </w:r>
          </w:p>
        </w:tc>
        <w:tc>
          <w:tcPr>
            <w:tcW w:type="dxa" w:w="6746"/>
          </w:tcPr>
          <w:p>
            <w:pPr>
              <w:spacing w:line="240" w:lineRule="auto" w:before="40" w:after="40"/>
              <w:jc w:val="left"/>
            </w:pPr>
            <w:r>
              <w:rPr>
                <w:rFonts w:ascii="Calibri" w:hAnsi="Calibri" w:eastAsia="Calibri"/>
                <w:b w:val="0"/>
                <w:i w:val="0"/>
                <w:sz w:val="20"/>
              </w:rPr>
              <w:t>Grupo 3 — Liderando Equipos Integradores (NRC 12109, Sección 550)</w:t>
            </w:r>
          </w:p>
        </w:tc>
      </w:tr>
      <w:tr>
        <w:tc>
          <w:tcPr>
            <w:tcW w:type="dxa" w:w="2608"/>
            <w:shd w:val="clear" w:fill="F2F4F8"/>
          </w:tcPr>
          <w:p>
            <w:pPr>
              <w:spacing w:line="240" w:lineRule="auto" w:before="40" w:after="40"/>
              <w:jc w:val="left"/>
            </w:pPr>
            <w:r>
              <w:rPr>
                <w:rFonts w:ascii="Calibri" w:hAnsi="Calibri" w:eastAsia="Calibri"/>
                <w:b/>
                <w:i w:val="0"/>
                <w:sz w:val="20"/>
              </w:rPr>
              <w:t>Fecha de la sesión</w:t>
            </w:r>
          </w:p>
        </w:tc>
        <w:tc>
          <w:tcPr>
            <w:tcW w:type="dxa" w:w="6746"/>
          </w:tcPr>
          <w:p>
            <w:pPr>
              <w:spacing w:line="240" w:lineRule="auto" w:before="40" w:after="40"/>
              <w:jc w:val="left"/>
            </w:pPr>
            <w:r>
              <w:rPr>
                <w:rFonts w:ascii="Calibri" w:hAnsi="Calibri" w:eastAsia="Calibri"/>
                <w:b w:val="0"/>
                <w:i w:val="0"/>
                <w:sz w:val="20"/>
              </w:rPr>
              <w:t>19 de noviembre de 2026</w:t>
            </w:r>
          </w:p>
        </w:tc>
      </w:tr>
      <w:tr>
        <w:tc>
          <w:tcPr>
            <w:tcW w:type="dxa" w:w="2608"/>
            <w:shd w:val="clear" w:fill="F2F4F8"/>
          </w:tcPr>
          <w:p>
            <w:pPr>
              <w:spacing w:line="240" w:lineRule="auto" w:before="40" w:after="40"/>
              <w:jc w:val="left"/>
            </w:pPr>
            <w:r>
              <w:rPr>
                <w:rFonts w:ascii="Calibri" w:hAnsi="Calibri" w:eastAsia="Calibri"/>
                <w:b/>
                <w:i w:val="0"/>
                <w:sz w:val="20"/>
              </w:rPr>
              <w:t>Horario y duración</w:t>
            </w:r>
          </w:p>
        </w:tc>
        <w:tc>
          <w:tcPr>
            <w:tcW w:type="dxa" w:w="6746"/>
          </w:tcPr>
          <w:p>
            <w:pPr>
              <w:spacing w:line="240" w:lineRule="auto" w:before="40" w:after="40"/>
              <w:jc w:val="left"/>
            </w:pPr>
            <w:r>
              <w:rPr>
                <w:rFonts w:ascii="Calibri" w:hAnsi="Calibri" w:eastAsia="Calibri"/>
                <w:b w:val="0"/>
                <w:i w:val="0"/>
                <w:sz w:val="20"/>
              </w:rPr>
              <w:t>19:00 a 20:20 horas (80 minutos)</w:t>
            </w:r>
          </w:p>
        </w:tc>
      </w:tr>
      <w:tr>
        <w:tc>
          <w:tcPr>
            <w:tcW w:type="dxa" w:w="2608"/>
            <w:shd w:val="clear" w:fill="F2F4F8"/>
          </w:tcPr>
          <w:p>
            <w:pPr>
              <w:spacing w:line="240" w:lineRule="auto" w:before="40" w:after="40"/>
              <w:jc w:val="left"/>
            </w:pPr>
            <w:r>
              <w:rPr>
                <w:rFonts w:ascii="Calibri" w:hAnsi="Calibri" w:eastAsia="Calibri"/>
                <w:b/>
                <w:i w:val="0"/>
                <w:sz w:val="20"/>
              </w:rPr>
              <w:t>Modalidad</w:t>
            </w:r>
          </w:p>
        </w:tc>
        <w:tc>
          <w:tcPr>
            <w:tcW w:type="dxa" w:w="6746"/>
          </w:tcPr>
          <w:p>
            <w:pPr>
              <w:spacing w:line="240" w:lineRule="auto" w:before="40" w:after="40"/>
              <w:jc w:val="left"/>
            </w:pPr>
            <w:r>
              <w:rPr>
                <w:rFonts w:ascii="Calibri" w:hAnsi="Calibri" w:eastAsia="Calibri"/>
                <w:b w:val="0"/>
                <w:i w:val="0"/>
                <w:sz w:val="20"/>
              </w:rPr>
              <w:t>Videoconferencia sincrónica</w:t>
            </w:r>
          </w:p>
        </w:tc>
      </w:tr>
      <w:tr>
        <w:tc>
          <w:tcPr>
            <w:tcW w:type="dxa" w:w="2608"/>
            <w:shd w:val="clear" w:fill="F2F4F8"/>
          </w:tcPr>
          <w:p>
            <w:pPr>
              <w:spacing w:line="240" w:lineRule="auto" w:before="40" w:after="40"/>
              <w:jc w:val="left"/>
            </w:pPr>
            <w:r>
              <w:rPr>
                <w:rFonts w:ascii="Calibri" w:hAnsi="Calibri" w:eastAsia="Calibri"/>
                <w:b/>
                <w:i w:val="0"/>
                <w:sz w:val="20"/>
              </w:rPr>
              <w:t>Participantes</w:t>
            </w:r>
          </w:p>
        </w:tc>
        <w:tc>
          <w:tcPr>
            <w:tcW w:type="dxa" w:w="6746"/>
          </w:tcPr>
          <w:p>
            <w:pPr>
              <w:spacing w:line="240" w:lineRule="auto" w:before="40" w:after="40"/>
              <w:jc w:val="left"/>
            </w:pPr>
            <w:r>
              <w:rPr>
                <w:rFonts w:ascii="Calibri" w:hAnsi="Calibri" w:eastAsia="Calibri"/>
                <w:b w:val="0"/>
                <w:i w:val="0"/>
                <w:sz w:val="20"/>
              </w:rPr>
              <w:t>Benjamín Peña Diaz, Cristóbal Flores Villegas, Cristóbal Hachim Sánchez, Cristopher Arredondo Canchis y Francisco Morales Díaz (asistencia completa)</w:t>
            </w:r>
          </w:p>
        </w:tc>
      </w:tr>
      <w:tr>
        <w:tc>
          <w:tcPr>
            <w:tcW w:type="dxa" w:w="2608"/>
            <w:shd w:val="clear" w:fill="F2F4F8"/>
          </w:tcPr>
          <w:p>
            <w:pPr>
              <w:spacing w:line="240" w:lineRule="auto" w:before="40" w:after="40"/>
              <w:jc w:val="left"/>
            </w:pPr>
            <w:r>
              <w:rPr>
                <w:rFonts w:ascii="Calibri" w:hAnsi="Calibri" w:eastAsia="Calibri"/>
                <w:b/>
                <w:i w:val="0"/>
                <w:sz w:val="20"/>
              </w:rPr>
              <w:t>Facilitación</w:t>
            </w:r>
          </w:p>
        </w:tc>
        <w:tc>
          <w:tcPr>
            <w:tcW w:type="dxa" w:w="6746"/>
          </w:tcPr>
          <w:p>
            <w:pPr>
              <w:spacing w:line="240" w:lineRule="auto" w:before="40" w:after="40"/>
              <w:jc w:val="left"/>
            </w:pPr>
            <w:r>
              <w:rPr>
                <w:rFonts w:ascii="Calibri" w:hAnsi="Calibri" w:eastAsia="Calibri"/>
                <w:b w:val="0"/>
                <w:i w:val="0"/>
                <w:sz w:val="20"/>
              </w:rPr>
              <w:t>Cristopher Arredondo Canchis, según la rotación acordada en el Módulo 1</w:t>
            </w:r>
          </w:p>
        </w:tc>
      </w:tr>
      <w:tr>
        <w:tc>
          <w:tcPr>
            <w:tcW w:type="dxa" w:w="2608"/>
            <w:shd w:val="clear" w:fill="F2F4F8"/>
          </w:tcPr>
          <w:p>
            <w:pPr>
              <w:spacing w:line="240" w:lineRule="auto" w:before="40" w:after="40"/>
              <w:jc w:val="left"/>
            </w:pPr>
            <w:r>
              <w:rPr>
                <w:rFonts w:ascii="Calibri" w:hAnsi="Calibri" w:eastAsia="Calibri"/>
                <w:b/>
                <w:i w:val="0"/>
                <w:sz w:val="20"/>
              </w:rPr>
              <w:t>Registro del acta</w:t>
            </w:r>
          </w:p>
        </w:tc>
        <w:tc>
          <w:tcPr>
            <w:tcW w:type="dxa" w:w="6746"/>
          </w:tcPr>
          <w:p>
            <w:pPr>
              <w:spacing w:line="240" w:lineRule="auto" w:before="40" w:after="40"/>
              <w:jc w:val="left"/>
            </w:pPr>
            <w:r>
              <w:rPr>
                <w:rFonts w:ascii="Calibri" w:hAnsi="Calibri" w:eastAsia="Calibri"/>
                <w:b w:val="0"/>
                <w:i w:val="0"/>
                <w:sz w:val="20"/>
              </w:rPr>
              <w:t>Cristóbal Hachim Sánchez</w:t>
            </w:r>
          </w:p>
        </w:tc>
      </w:tr>
    </w:tbl>
    <w:p>
      <w:pPr>
        <w:spacing w:after="0"/>
      </w:pPr>
    </w:p>
    <w:p>
      <w:pPr>
        <w:keepNext/>
        <w:spacing w:before="220" w:after="120"/>
        <w:jc w:val="left"/>
      </w:pPr>
      <w:r>
        <w:rPr>
          <w:rFonts w:ascii="Calibri" w:hAnsi="Calibri" w:eastAsia="Calibri"/>
          <w:b/>
          <w:i w:val="0"/>
          <w:color w:val="1F3150"/>
          <w:sz w:val="26"/>
        </w:rPr>
        <w:t>2. Introducción y definición de los constructos</w:t>
      </w:r>
    </w:p>
    <w:p>
      <w:pPr>
        <w:spacing w:after="120"/>
        <w:jc w:val="both"/>
      </w:pPr>
      <w:r>
        <w:rPr>
          <w:rFonts w:ascii="Calibri" w:hAnsi="Calibri" w:eastAsia="Calibri"/>
          <w:b w:val="0"/>
          <w:i w:val="0"/>
          <w:sz w:val="22"/>
        </w:rPr>
        <w:t>Este informe documenta la cuarta discusión integradora del Grupo 3, correspondiente al Módulo 4 de la asignatura Liderando Equipos Integradores. Los módulos anteriores examinaron cómo se conduce un equipo, qué lo mantiene unido y cómo decide. Este módulo se ocupa de la materia prima de todo lo anterior: el conocimiento que cada integrante tiene y la forma en que lo pone a disposición de los demás.</w:t>
      </w:r>
    </w:p>
    <w:p>
      <w:pPr>
        <w:spacing w:after="120"/>
        <w:jc w:val="both"/>
      </w:pPr>
      <w:r>
        <w:rPr>
          <w:rFonts w:ascii="Calibri" w:hAnsi="Calibri" w:eastAsia="Calibri"/>
          <w:b w:val="0"/>
          <w:i w:val="0"/>
          <w:sz w:val="22"/>
        </w:rPr>
        <w:t xml:space="preserve">Los constructos provienen del capítulo 4, “Cómo comunicamos lo que sabemos”, de Keyton y Beck (2023). El primero es el </w:t>
      </w:r>
      <w:r>
        <w:rPr>
          <w:rFonts w:ascii="Calibri" w:hAnsi="Calibri" w:eastAsia="Calibri"/>
          <w:b/>
          <w:i w:val="0"/>
          <w:sz w:val="22"/>
        </w:rPr>
        <w:t>intercambio de información</w:t>
      </w:r>
      <w:r>
        <w:rPr>
          <w:rFonts w:ascii="Calibri" w:hAnsi="Calibri" w:eastAsia="Calibri"/>
          <w:b w:val="0"/>
          <w:i w:val="0"/>
          <w:sz w:val="22"/>
        </w:rPr>
        <w:t xml:space="preserve">, el proceso por el cual los integrantes ponen en común lo que saben para construir un entendimiento colectivo. Su principal obstáculo es el </w:t>
      </w:r>
      <w:r>
        <w:rPr>
          <w:rFonts w:ascii="Calibri" w:hAnsi="Calibri" w:eastAsia="Calibri"/>
          <w:b/>
          <w:i w:val="0"/>
          <w:sz w:val="22"/>
        </w:rPr>
        <w:t>efecto del conocimiento común</w:t>
      </w:r>
      <w:r>
        <w:rPr>
          <w:rFonts w:ascii="Calibri" w:hAnsi="Calibri" w:eastAsia="Calibri"/>
          <w:b w:val="0"/>
          <w:i w:val="0"/>
          <w:sz w:val="22"/>
        </w:rPr>
        <w:t xml:space="preserve">: los grupos tienden a discutir la información que todos ya comparten y a omitir la que posee una sola persona, lo que en las tareas de </w:t>
      </w:r>
      <w:r>
        <w:rPr>
          <w:rFonts w:ascii="Calibri" w:hAnsi="Calibri" w:eastAsia="Calibri"/>
          <w:b/>
          <w:i w:val="0"/>
          <w:sz w:val="22"/>
        </w:rPr>
        <w:t>perfil oculto</w:t>
      </w:r>
      <w:r>
        <w:rPr>
          <w:rFonts w:ascii="Calibri" w:hAnsi="Calibri" w:eastAsia="Calibri"/>
          <w:b w:val="0"/>
          <w:i w:val="0"/>
          <w:sz w:val="22"/>
        </w:rPr>
        <w:t xml:space="preserve"> lleva a decisiones peores que las que permitiría la suma de lo que el grupo sabe.</w:t>
      </w:r>
    </w:p>
    <w:p>
      <w:pPr>
        <w:spacing w:after="120"/>
        <w:jc w:val="both"/>
      </w:pPr>
      <w:r>
        <w:rPr>
          <w:rFonts w:ascii="Calibri" w:hAnsi="Calibri" w:eastAsia="Calibri"/>
          <w:b w:val="0"/>
          <w:i w:val="0"/>
          <w:sz w:val="22"/>
        </w:rPr>
        <w:t xml:space="preserve">El tercer constructo es la </w:t>
      </w:r>
      <w:r>
        <w:rPr>
          <w:rFonts w:ascii="Calibri" w:hAnsi="Calibri" w:eastAsia="Calibri"/>
          <w:b/>
          <w:i w:val="0"/>
          <w:sz w:val="22"/>
        </w:rPr>
        <w:t>memoria transactiva</w:t>
      </w:r>
      <w:r>
        <w:rPr>
          <w:rFonts w:ascii="Calibri" w:hAnsi="Calibri" w:eastAsia="Calibri"/>
          <w:b w:val="0"/>
          <w:i w:val="0"/>
          <w:sz w:val="22"/>
        </w:rPr>
        <w:t xml:space="preserve">, el sistema por el cual un equipo sabe quién sabe qué, de modo que cada integrante no necesita dominarlo todo, sino saber a quién recurrir. Relacionados con ella están los </w:t>
      </w:r>
      <w:r>
        <w:rPr>
          <w:rFonts w:ascii="Calibri" w:hAnsi="Calibri" w:eastAsia="Calibri"/>
          <w:b/>
          <w:i w:val="0"/>
          <w:sz w:val="22"/>
        </w:rPr>
        <w:t>modelos mentales compartidos</w:t>
      </w:r>
      <w:r>
        <w:rPr>
          <w:rFonts w:ascii="Calibri" w:hAnsi="Calibri" w:eastAsia="Calibri"/>
          <w:b w:val="0"/>
          <w:i w:val="0"/>
          <w:sz w:val="22"/>
        </w:rPr>
        <w:t xml:space="preserve">, es decir, el entendimiento común sobre la tarea y sobre cómo trabaja el equipo. El cuarto es la elección del </w:t>
      </w:r>
      <w:r>
        <w:rPr>
          <w:rFonts w:ascii="Calibri" w:hAnsi="Calibri" w:eastAsia="Calibri"/>
          <w:b/>
          <w:i w:val="0"/>
          <w:sz w:val="22"/>
        </w:rPr>
        <w:t>canal de comunicación</w:t>
      </w:r>
      <w:r>
        <w:rPr>
          <w:rFonts w:ascii="Calibri" w:hAnsi="Calibri" w:eastAsia="Calibri"/>
          <w:b w:val="0"/>
          <w:i w:val="0"/>
          <w:sz w:val="22"/>
        </w:rPr>
        <w:t xml:space="preserve">: los canales difieren en riqueza, entendida como su capacidad de transmitir matices y de recibir respuesta inmediata, y su elección afecta la </w:t>
      </w:r>
      <w:r>
        <w:rPr>
          <w:rFonts w:ascii="Calibri" w:hAnsi="Calibri" w:eastAsia="Calibri"/>
          <w:b/>
          <w:i w:val="0"/>
          <w:sz w:val="22"/>
        </w:rPr>
        <w:t>claridad</w:t>
      </w:r>
      <w:r>
        <w:rPr>
          <w:rFonts w:ascii="Calibri" w:hAnsi="Calibri" w:eastAsia="Calibri"/>
          <w:b w:val="0"/>
          <w:i w:val="0"/>
          <w:sz w:val="22"/>
        </w:rPr>
        <w:t xml:space="preserve"> del mensaje y el riesgo de </w:t>
      </w:r>
      <w:r>
        <w:rPr>
          <w:rFonts w:ascii="Calibri" w:hAnsi="Calibri" w:eastAsia="Calibri"/>
          <w:b/>
          <w:i w:val="0"/>
          <w:sz w:val="22"/>
        </w:rPr>
        <w:t>sobrecarga de información</w:t>
      </w:r>
      <w:r>
        <w:rPr>
          <w:rFonts w:ascii="Calibri" w:hAnsi="Calibri" w:eastAsia="Calibri"/>
          <w:b w:val="0"/>
          <w:i w:val="0"/>
          <w:sz w:val="22"/>
        </w:rPr>
        <w:t>.</w:t>
      </w:r>
    </w:p>
    <w:p>
      <w:pPr>
        <w:spacing w:after="120"/>
        <w:jc w:val="both"/>
      </w:pPr>
      <w:r>
        <w:rPr>
          <w:rFonts w:ascii="Calibri" w:hAnsi="Calibri" w:eastAsia="Calibri"/>
          <w:b w:val="0"/>
          <w:i w:val="0"/>
          <w:sz w:val="22"/>
        </w:rPr>
        <w:t xml:space="preserve">Los artículos del módulo trasladan estos temas a la gestión de proyectos. El sistema </w:t>
      </w:r>
      <w:r>
        <w:rPr>
          <w:rFonts w:ascii="Calibri" w:hAnsi="Calibri" w:eastAsia="Calibri"/>
          <w:b/>
          <w:i w:val="0"/>
          <w:sz w:val="22"/>
        </w:rPr>
        <w:t>stage-gate</w:t>
      </w:r>
      <w:r>
        <w:rPr>
          <w:rFonts w:ascii="Calibri" w:hAnsi="Calibri" w:eastAsia="Calibri"/>
          <w:b w:val="0"/>
          <w:i w:val="0"/>
          <w:sz w:val="22"/>
        </w:rPr>
        <w:t xml:space="preserve"> organiza el desarrollo de un producto en etapas separadas por puertas, puntos de revisión donde se decide si el proyecto continúa; su versión </w:t>
      </w:r>
      <w:r>
        <w:rPr>
          <w:rFonts w:ascii="Calibri" w:hAnsi="Calibri" w:eastAsia="Calibri"/>
          <w:b/>
          <w:i w:val="0"/>
          <w:sz w:val="22"/>
        </w:rPr>
        <w:t>ágil-stage-gate</w:t>
      </w:r>
      <w:r>
        <w:rPr>
          <w:rFonts w:ascii="Calibri" w:hAnsi="Calibri" w:eastAsia="Calibri"/>
          <w:b w:val="0"/>
          <w:i w:val="0"/>
          <w:sz w:val="22"/>
        </w:rPr>
        <w:t xml:space="preserve"> incorpora </w:t>
      </w:r>
      <w:r>
        <w:rPr>
          <w:rFonts w:ascii="Calibri" w:hAnsi="Calibri" w:eastAsia="Calibri"/>
          <w:b w:val="0"/>
          <w:i/>
          <w:sz w:val="22"/>
        </w:rPr>
        <w:t>sprints</w:t>
      </w:r>
      <w:r>
        <w:rPr>
          <w:rFonts w:ascii="Calibri" w:hAnsi="Calibri" w:eastAsia="Calibri"/>
          <w:b w:val="0"/>
          <w:i w:val="0"/>
          <w:sz w:val="22"/>
        </w:rPr>
        <w:t xml:space="preserve"> dentro de cada etapa. El </w:t>
      </w:r>
      <w:r>
        <w:rPr>
          <w:rFonts w:ascii="Calibri" w:hAnsi="Calibri" w:eastAsia="Calibri"/>
          <w:b/>
          <w:i w:val="0"/>
          <w:sz w:val="22"/>
        </w:rPr>
        <w:t>éxito de la gestión del proyecto</w:t>
      </w:r>
      <w:r>
        <w:rPr>
          <w:rFonts w:ascii="Calibri" w:hAnsi="Calibri" w:eastAsia="Calibri"/>
          <w:b w:val="0"/>
          <w:i w:val="0"/>
          <w:sz w:val="22"/>
        </w:rPr>
        <w:t xml:space="preserve">, medido en plazo, costo y alcance, se distingue del </w:t>
      </w:r>
      <w:r>
        <w:rPr>
          <w:rFonts w:ascii="Calibri" w:hAnsi="Calibri" w:eastAsia="Calibri"/>
          <w:b/>
          <w:i w:val="0"/>
          <w:sz w:val="22"/>
        </w:rPr>
        <w:t>éxito del proyecto</w:t>
      </w:r>
      <w:r>
        <w:rPr>
          <w:rFonts w:ascii="Calibri" w:hAnsi="Calibri" w:eastAsia="Calibri"/>
          <w:b w:val="0"/>
          <w:i w:val="0"/>
          <w:sz w:val="22"/>
        </w:rPr>
        <w:t xml:space="preserve">, que se refiere a los beneficios que este produce. Por último, la </w:t>
      </w:r>
      <w:r>
        <w:rPr>
          <w:rFonts w:ascii="Calibri" w:hAnsi="Calibri" w:eastAsia="Calibri"/>
          <w:b/>
          <w:i w:val="0"/>
          <w:sz w:val="22"/>
        </w:rPr>
        <w:t>orientación emprendedora</w:t>
      </w:r>
      <w:r>
        <w:rPr>
          <w:rFonts w:ascii="Calibri" w:hAnsi="Calibri" w:eastAsia="Calibri"/>
          <w:b w:val="0"/>
          <w:i w:val="0"/>
          <w:sz w:val="22"/>
        </w:rPr>
        <w:t xml:space="preserve"> describe la disposición de una organización a innovar, asumir riesgos, anticiparse, actuar con autonomía y competir de manera activa.</w:t>
      </w:r>
    </w:p>
    <w:p>
      <w:pPr>
        <w:keepNext/>
        <w:spacing w:before="220" w:after="120"/>
        <w:jc w:val="left"/>
      </w:pPr>
      <w:r>
        <w:rPr>
          <w:rFonts w:ascii="Calibri" w:hAnsi="Calibri" w:eastAsia="Calibri"/>
          <w:b/>
          <w:i w:val="0"/>
          <w:color w:val="1F3150"/>
          <w:sz w:val="26"/>
        </w:rPr>
        <w:t>3. Síntesis de las lecturas y los artículos de investigación</w:t>
      </w:r>
    </w:p>
    <w:p>
      <w:pPr>
        <w:spacing w:after="120"/>
        <w:jc w:val="both"/>
      </w:pPr>
      <w:r>
        <w:rPr>
          <w:rFonts w:ascii="Calibri" w:hAnsi="Calibri" w:eastAsia="Calibri"/>
          <w:b/>
          <w:i w:val="0"/>
          <w:sz w:val="22"/>
        </w:rPr>
        <w:t>Keyton y Beck (2023), capítulo 4: “Cómo comunicamos lo que sabemos”.</w:t>
      </w:r>
      <w:r>
        <w:rPr>
          <w:rFonts w:ascii="Calibri" w:hAnsi="Calibri" w:eastAsia="Calibri"/>
          <w:b w:val="0"/>
          <w:i w:val="0"/>
          <w:sz w:val="22"/>
        </w:rPr>
        <w:t xml:space="preserve"> Su propósito es explicar cómo los grupos comparten conocimiento y construyen un entendimiento colectivo, y qué factores lo facilitan o lo impiden. Es un capítulo teórico de síntesis que integra investigación sobre comunicación grupal con casos aplicados. Sus planteamientos centrales son que la información disponible en un grupo no se comparte de manera automática; que saber quién sabe qué vuelve al equipo más eficiente que la suma de sus integrantes; y que la claridad del mensaje y la elección del canal influyen tanto en el liderazgo como en la toma de decisiones.</w:t>
      </w:r>
    </w:p>
    <w:p>
      <w:pPr>
        <w:spacing w:after="120"/>
        <w:jc w:val="both"/>
      </w:pPr>
      <w:r>
        <w:rPr>
          <w:rFonts w:ascii="Calibri" w:hAnsi="Calibri" w:eastAsia="Calibri"/>
          <w:b/>
          <w:i w:val="0"/>
          <w:sz w:val="22"/>
        </w:rPr>
        <w:t>Cooper y Sommer (2018).</w:t>
      </w:r>
      <w:r>
        <w:rPr>
          <w:rFonts w:ascii="Calibri" w:hAnsi="Calibri" w:eastAsia="Calibri"/>
          <w:b w:val="0"/>
          <w:i w:val="0"/>
          <w:sz w:val="22"/>
        </w:rPr>
        <w:t xml:space="preserve"> El objetivo fue examinar cómo las empresas manufactureras integran métodos ágiles, propios del desarrollo de software, en su sistema stage-gate para desarrollar productos físicos. El diseño corresponde a seis estudios de caso en grandes empresas que experimentaban con modelos híbridos, en los que los </w:t>
      </w:r>
      <w:r>
        <w:rPr>
          <w:rFonts w:ascii="Calibri" w:hAnsi="Calibri" w:eastAsia="Calibri"/>
          <w:b w:val="0"/>
          <w:i/>
          <w:sz w:val="22"/>
        </w:rPr>
        <w:t>sprints</w:t>
      </w:r>
      <w:r>
        <w:rPr>
          <w:rFonts w:ascii="Calibri" w:hAnsi="Calibri" w:eastAsia="Calibri"/>
          <w:b w:val="0"/>
          <w:i w:val="0"/>
          <w:sz w:val="22"/>
        </w:rPr>
        <w:t>, las reuniones diarias, las demostraciones tempranas y las retrospectivas se insertan en las etapas del sistema. Los resultados son positivos: menor tiempo de llegada al mercado, más productividad, respuesta más rápida a los cambios y mejor ánimo de los equipos. Los autores identifican también desafíos, como el escepticismo de la gerencia, la dificultad de contar con equipos dedicados y la inestabilidad de las definiciones del producto.</w:t>
      </w:r>
    </w:p>
    <w:p>
      <w:pPr>
        <w:spacing w:after="120"/>
        <w:jc w:val="both"/>
      </w:pPr>
      <w:r>
        <w:rPr>
          <w:rFonts w:ascii="Calibri" w:hAnsi="Calibri" w:eastAsia="Calibri"/>
          <w:b/>
          <w:i w:val="0"/>
          <w:sz w:val="22"/>
        </w:rPr>
        <w:t>Radujković y Sjekavica (2017).</w:t>
      </w:r>
      <w:r>
        <w:rPr>
          <w:rFonts w:ascii="Calibri" w:hAnsi="Calibri" w:eastAsia="Calibri"/>
          <w:b w:val="0"/>
          <w:i w:val="0"/>
          <w:sz w:val="22"/>
        </w:rPr>
        <w:t xml:space="preserve"> El propósito fue revisar los modelos de éxito en la gestión de proyectos y proponer orientaciones prácticas. Es una revisión de la literatura, con análisis y síntesis de los modelos más relevantes, que además compara proyectos públicos y privados y se detiene en el caso de Croacia. Su aporte central es distinguir el éxito de la gestión del proyecto del éxito del proyecto: un proyecto puede cumplir plazo y presupuesto sin producir los beneficios esperados, y al revés.</w:t>
      </w:r>
    </w:p>
    <w:p>
      <w:pPr>
        <w:spacing w:after="120"/>
        <w:jc w:val="both"/>
      </w:pPr>
      <w:r>
        <w:rPr>
          <w:rFonts w:ascii="Calibri" w:hAnsi="Calibri" w:eastAsia="Calibri"/>
          <w:b/>
          <w:i w:val="0"/>
          <w:sz w:val="22"/>
        </w:rPr>
        <w:t>Martens, Machado, Martens, Silva y Freitas (2018).</w:t>
      </w:r>
      <w:r>
        <w:rPr>
          <w:rFonts w:ascii="Calibri" w:hAnsi="Calibri" w:eastAsia="Calibri"/>
          <w:b w:val="0"/>
          <w:i w:val="0"/>
          <w:sz w:val="22"/>
        </w:rPr>
        <w:t xml:space="preserve"> El estudio busca establecer si la orientación emprendedora se relaciona con el éxito de los proyectos. Su diseño es cuantitativo: una encuesta a profesionales de proyectos en Brasil, con 100 respuestas válidas analizadas mediante ecuaciones estructurales. El modelo considera cinco dimensiones de la orientación emprendedora: innovación, toma de riesgos, proactividad, autonomía y agresividad competitiva. El resultado es una correlación positiva entre la orientación emprendedora y el éxito del proyecto.</w:t>
      </w:r>
    </w:p>
    <w:p>
      <w:pPr>
        <w:keepNext/>
        <w:spacing w:before="220" w:after="120"/>
        <w:jc w:val="left"/>
      </w:pPr>
      <w:r>
        <w:rPr>
          <w:rFonts w:ascii="Calibri" w:hAnsi="Calibri" w:eastAsia="Calibri"/>
          <w:b/>
          <w:i w:val="0"/>
          <w:color w:val="1F3150"/>
          <w:sz w:val="26"/>
        </w:rPr>
        <w:t>4. Conexiones con los constructos de los módulos anteriores</w:t>
      </w:r>
    </w:p>
    <w:p>
      <w:pPr>
        <w:spacing w:after="120"/>
        <w:jc w:val="both"/>
      </w:pPr>
      <w:r>
        <w:rPr>
          <w:rFonts w:ascii="Calibri" w:hAnsi="Calibri" w:eastAsia="Calibri"/>
          <w:b w:val="0"/>
          <w:i w:val="0"/>
          <w:sz w:val="22"/>
        </w:rPr>
        <w:t>La discusión mostró que el intercambio de información atraviesa los tres módulos anteriores. Del Módulo 1 proviene la seguridad psicológica: compartir un dato que solo uno conoce supone exponerse a estar equivocado, y el efecto del conocimiento común es, en parte, una forma de evitar ese riesgo. También proviene de allí la idea de competencia técnica, que en este módulo reaparece como memoria transactiva: el equipo ya distribuía el liderazgo según quién dominaba cada tema, y ahora puede nombrar ese sistema.</w:t>
      </w:r>
    </w:p>
    <w:p>
      <w:pPr>
        <w:spacing w:after="120"/>
        <w:jc w:val="both"/>
      </w:pPr>
      <w:r>
        <w:rPr>
          <w:rFonts w:ascii="Calibri" w:hAnsi="Calibri" w:eastAsia="Calibri"/>
          <w:b w:val="0"/>
          <w:i w:val="0"/>
          <w:sz w:val="22"/>
        </w:rPr>
        <w:t>Del Módulo 2 proviene el intercambio de conocimiento estudiado por Buvik y Tvedt (2017), que lo explicaban a partir de la confianza y el compromiso. Este módulo agrega el mecanismo comunicativo: aun con confianza, la información única tiende a quedar fuera de la conversación si nadie la pide de forma expresa. Del Módulo 3 proviene la teoría funcional de la decisión: la función de comprender el problema depende de que la información relevante llegue a la mesa, de modo que un perfil oculto sin revelar produce una mala decisión aunque el procedimiento sea correcto.</w:t>
      </w:r>
    </w:p>
    <w:p>
      <w:pPr>
        <w:spacing w:after="120"/>
        <w:jc w:val="both"/>
      </w:pPr>
      <w:r>
        <w:rPr>
          <w:rFonts w:ascii="Calibri" w:hAnsi="Calibri" w:eastAsia="Calibri"/>
          <w:b w:val="0"/>
          <w:i w:val="0"/>
          <w:sz w:val="22"/>
        </w:rPr>
        <w:t>Los artículos agregan una conexión con la gestión de proyectos. Las puertas del sistema stage-gate son, en el fondo, momentos obligatorios de intercambio de información, y las prácticas ágiles que Cooper y Sommer insertan en él son las mismas que el equipo adaptó en el Módulo 3. La distinción de Radujković y Sjekavica, por su parte, obligó al grupo a preguntarse si medía su propio éxito solo por la nota o también por lo aprendido.</w:t>
      </w:r>
    </w:p>
    <w:p>
      <w:pPr>
        <w:keepNext/>
        <w:spacing w:before="220" w:after="120"/>
        <w:jc w:val="left"/>
      </w:pPr>
      <w:r>
        <w:rPr>
          <w:rFonts w:ascii="Calibri" w:hAnsi="Calibri" w:eastAsia="Calibri"/>
          <w:b/>
          <w:i w:val="0"/>
          <w:color w:val="1F3150"/>
          <w:sz w:val="26"/>
        </w:rPr>
        <w:t>5. Los hechos: qué ocurrió dentro del equipo</w:t>
      </w:r>
    </w:p>
    <w:p>
      <w:pPr>
        <w:spacing w:after="120"/>
        <w:jc w:val="both"/>
      </w:pPr>
      <w:r>
        <w:rPr>
          <w:rFonts w:ascii="Calibri" w:hAnsi="Calibri" w:eastAsia="Calibri"/>
          <w:b/>
          <w:i w:val="0"/>
          <w:sz w:val="22"/>
        </w:rPr>
        <w:t>Hecho 1. Balance de los acuerdos del Módulo 3.</w:t>
      </w:r>
      <w:r>
        <w:rPr>
          <w:rFonts w:ascii="Calibri" w:hAnsi="Calibri" w:eastAsia="Calibri"/>
          <w:b w:val="0"/>
          <w:i w:val="0"/>
          <w:sz w:val="22"/>
        </w:rPr>
        <w:t xml:space="preserve"> La regla de respuesta explícita en 48 horas se cumplió y no volvió a darse una decisión por silencio. La plantilla de cuatro preguntas se usó para repartir el trabajo de este módulo y no hubo secciones superpuestas. El abogado del diablo rotativo funcionó en las reuniones sincrónicas, pero no en el chat, donde la regla de respuesta multiplicó los mensajes: varios integrantes reconocieron haber dejado de leer el historial completo.</w:t>
      </w:r>
    </w:p>
    <w:p>
      <w:pPr>
        <w:spacing w:after="120"/>
        <w:jc w:val="both"/>
      </w:pPr>
      <w:r>
        <w:rPr>
          <w:rFonts w:ascii="Calibri" w:hAnsi="Calibri" w:eastAsia="Calibri"/>
          <w:b/>
          <w:i w:val="0"/>
          <w:sz w:val="22"/>
        </w:rPr>
        <w:t>Hecho 2. Desarrollo de la cuarta sesión integradora.</w:t>
      </w:r>
      <w:r>
        <w:rPr>
          <w:rFonts w:ascii="Calibri" w:hAnsi="Calibri" w:eastAsia="Calibri"/>
          <w:b w:val="0"/>
          <w:i w:val="0"/>
          <w:sz w:val="22"/>
        </w:rPr>
        <w:t xml:space="preserve"> La sesión, con asistencia completa, la facilitó Cristopher Arredondo. Tras presentar los constructos del capítulo 4, propuso un ejercicio: antes de discutir, cada integrante debía escribir un dato sobre la entrega que creyera que solo él conocía. La pregunta que guio la sesión fue cuánto de lo que el equipo sabe llega efectivamente a la conversación.</w:t>
      </w:r>
    </w:p>
    <w:p>
      <w:pPr>
        <w:spacing w:after="120"/>
        <w:jc w:val="both"/>
      </w:pPr>
      <w:r>
        <w:rPr>
          <w:rFonts w:ascii="Calibri" w:hAnsi="Calibri" w:eastAsia="Calibri"/>
          <w:b/>
          <w:i w:val="0"/>
          <w:sz w:val="22"/>
        </w:rPr>
        <w:t>Hecho 3. Un perfil oculto en la propia entrega.</w:t>
      </w:r>
      <w:r>
        <w:rPr>
          <w:rFonts w:ascii="Calibri" w:hAnsi="Calibri" w:eastAsia="Calibri"/>
          <w:b w:val="0"/>
          <w:i w:val="0"/>
          <w:sz w:val="22"/>
        </w:rPr>
        <w:t xml:space="preserve"> El ejercicio reveló que Cristóbal Flores había notado que el enunciado de este módulo cambia el formato del nombre del archivo respecto de los anteriores: el ejemplo ya no incluye la palabra “Res”. Lo había comentado una vez en el chat, en medio de una discusión sobre otro tema, y el mensaje pasó inadvertido. El resto del equipo trabajaba con el nombre antiguo. El grupo lo reconoció como un caso exacto del efecto del conocimiento común, agravado por el canal: el dato estaba escrito, pero nadie lo leyó.</w:t>
      </w:r>
    </w:p>
    <w:p>
      <w:pPr>
        <w:spacing w:after="120"/>
        <w:jc w:val="both"/>
      </w:pPr>
      <w:r>
        <w:rPr>
          <w:rFonts w:ascii="Calibri" w:hAnsi="Calibri" w:eastAsia="Calibri"/>
          <w:b/>
          <w:i w:val="0"/>
          <w:sz w:val="22"/>
        </w:rPr>
        <w:t>Hecho 4. Resultados y acuerdos de la sesión.</w:t>
      </w:r>
      <w:r>
        <w:rPr>
          <w:rFonts w:ascii="Calibri" w:hAnsi="Calibri" w:eastAsia="Calibri"/>
          <w:b w:val="0"/>
          <w:i w:val="0"/>
          <w:sz w:val="22"/>
        </w:rPr>
        <w:t xml:space="preserve"> El ejercicio produjo otros dos datos que solo una persona conocía, ambos sobre las referencias. El grupo elaboró, además, un mapa de quién sabe qué, y descubrió que dos tareas críticas, el formato APA y la exportación del documento, dependían de una sola persona cada una. La sesión terminó con una sensación distinta a la de los módulos anteriores: el equipo no había fallado por falta de confianza ni de procedimiento, sino porque la información correcta circulaba por el canal equivocado.</w:t>
      </w:r>
    </w:p>
    <w:p>
      <w:pPr>
        <w:keepNext/>
        <w:spacing w:before="220" w:after="120"/>
        <w:jc w:val="left"/>
      </w:pPr>
      <w:r>
        <w:rPr>
          <w:rFonts w:ascii="Calibri" w:hAnsi="Calibri" w:eastAsia="Calibri"/>
          <w:b/>
          <w:i w:val="0"/>
          <w:color w:val="1F3150"/>
          <w:sz w:val="26"/>
        </w:rPr>
        <w:t>6. Comparaciones: semejanzas y diferencias con la literatura</w:t>
      </w:r>
    </w:p>
    <w:p>
      <w:pPr>
        <w:spacing w:after="120"/>
        <w:jc w:val="both"/>
      </w:pPr>
      <w:r>
        <w:rPr>
          <w:rFonts w:ascii="Calibri" w:hAnsi="Calibri" w:eastAsia="Calibri"/>
          <w:b w:val="0"/>
          <w:i w:val="0"/>
          <w:sz w:val="22"/>
        </w:rPr>
        <w:t>Se contrastan a continuación tres experiencias relatadas en las lecturas y los artículos con las vivencias del equipo, indicando tres semejanzas o diferencias en cada caso.</w:t>
      </w:r>
    </w:p>
    <w:p>
      <w:pPr>
        <w:keepNext/>
        <w:spacing w:before="220" w:after="120"/>
        <w:jc w:val="left"/>
      </w:pPr>
      <w:r>
        <w:rPr>
          <w:rFonts w:ascii="Calibri" w:hAnsi="Calibri" w:eastAsia="Calibri"/>
          <w:b/>
          <w:i w:val="0"/>
          <w:color w:val="1F3150"/>
          <w:sz w:val="26"/>
        </w:rPr>
        <w:t>6.1. Información compartida y memoria transactiva (Keyton y Beck, 2023)</w:t>
      </w:r>
    </w:p>
    <w:p>
      <w:pPr>
        <w:spacing w:after="120"/>
        <w:jc w:val="both"/>
      </w:pPr>
      <w:r>
        <w:rPr>
          <w:rFonts w:ascii="Calibri" w:hAnsi="Calibri" w:eastAsia="Calibri"/>
          <w:b/>
          <w:i w:val="0"/>
          <w:sz w:val="22"/>
        </w:rPr>
        <w:t>Semejanza 1.</w:t>
      </w:r>
      <w:r>
        <w:rPr>
          <w:rFonts w:ascii="Calibri" w:hAnsi="Calibri" w:eastAsia="Calibri"/>
          <w:b w:val="0"/>
          <w:i w:val="0"/>
          <w:sz w:val="22"/>
        </w:rPr>
        <w:t xml:space="preserve"> El capítulo explica que los grupos discuten lo que todos saben y omiten lo que sabe uno solo. El cambio en el nombre del archivo lo ilustra: la información existía dentro del equipo, pero no entró en la conversación hasta que alguien la pidió de forma expresa.</w:t>
      </w:r>
    </w:p>
    <w:p>
      <w:pPr>
        <w:spacing w:after="120"/>
        <w:jc w:val="both"/>
      </w:pPr>
      <w:r>
        <w:rPr>
          <w:rFonts w:ascii="Calibri" w:hAnsi="Calibri" w:eastAsia="Calibri"/>
          <w:b/>
          <w:i w:val="0"/>
          <w:sz w:val="22"/>
        </w:rPr>
        <w:t>Semejanza 2.</w:t>
      </w:r>
      <w:r>
        <w:rPr>
          <w:rFonts w:ascii="Calibri" w:hAnsi="Calibri" w:eastAsia="Calibri"/>
          <w:b w:val="0"/>
          <w:i w:val="0"/>
          <w:sz w:val="22"/>
        </w:rPr>
        <w:t xml:space="preserve"> La memoria transactiva hace eficiente a un equipo porque cada uno sabe a quién recurrir. El mapa elaborado en la sesión confirmó que el grupo ya funcionaba así, aunque nunca lo hubiera formulado, y mostró también su fragilidad: si una persona falta, su conocimiento se va con ella.</w:t>
      </w:r>
    </w:p>
    <w:p>
      <w:pPr>
        <w:spacing w:after="120"/>
        <w:jc w:val="both"/>
      </w:pPr>
      <w:r>
        <w:rPr>
          <w:rFonts w:ascii="Calibri" w:hAnsi="Calibri" w:eastAsia="Calibri"/>
          <w:b/>
          <w:i w:val="0"/>
          <w:sz w:val="22"/>
        </w:rPr>
        <w:t>Diferencia 1.</w:t>
      </w:r>
      <w:r>
        <w:rPr>
          <w:rFonts w:ascii="Calibri" w:hAnsi="Calibri" w:eastAsia="Calibri"/>
          <w:b w:val="0"/>
          <w:i w:val="0"/>
          <w:sz w:val="22"/>
        </w:rPr>
        <w:t xml:space="preserve"> El capítulo trata principalmente grupos que comparten información en reuniones. En el Grupo 3, la mayor parte del intercambio ocurre por chat, un canal pobre en matices y saturado de mensajes. El problema no fue solo qué se decía, sino dónde: un dato importante quedó enterrado entre mensajes de coordinación.</w:t>
      </w:r>
    </w:p>
    <w:p>
      <w:pPr>
        <w:keepNext/>
        <w:spacing w:before="220" w:after="120"/>
        <w:jc w:val="left"/>
      </w:pPr>
      <w:r>
        <w:rPr>
          <w:rFonts w:ascii="Calibri" w:hAnsi="Calibri" w:eastAsia="Calibri"/>
          <w:b/>
          <w:i w:val="0"/>
          <w:color w:val="1F3150"/>
          <w:sz w:val="26"/>
        </w:rPr>
        <w:t>6.2. Etapas, puertas y ciclos ágiles (Cooper y Sommer, 2018)</w:t>
      </w:r>
    </w:p>
    <w:p>
      <w:pPr>
        <w:spacing w:after="120"/>
        <w:jc w:val="both"/>
      </w:pPr>
      <w:r>
        <w:rPr>
          <w:rFonts w:ascii="Calibri" w:hAnsi="Calibri" w:eastAsia="Calibri"/>
          <w:b/>
          <w:i w:val="0"/>
          <w:sz w:val="22"/>
        </w:rPr>
        <w:t>Semejanza 1.</w:t>
      </w:r>
      <w:r>
        <w:rPr>
          <w:rFonts w:ascii="Calibri" w:hAnsi="Calibri" w:eastAsia="Calibri"/>
          <w:b w:val="0"/>
          <w:i w:val="0"/>
          <w:sz w:val="22"/>
        </w:rPr>
        <w:t xml:space="preserve"> Las empresas estudiadas insertan </w:t>
      </w:r>
      <w:r>
        <w:rPr>
          <w:rFonts w:ascii="Calibri" w:hAnsi="Calibri" w:eastAsia="Calibri"/>
          <w:b w:val="0"/>
          <w:i/>
          <w:sz w:val="22"/>
        </w:rPr>
        <w:t>sprints</w:t>
      </w:r>
      <w:r>
        <w:rPr>
          <w:rFonts w:ascii="Calibri" w:hAnsi="Calibri" w:eastAsia="Calibri"/>
          <w:b w:val="0"/>
          <w:i w:val="0"/>
          <w:sz w:val="22"/>
        </w:rPr>
        <w:t xml:space="preserve"> dentro de etapas que terminan en una puerta de revisión. El curso funciona del mismo modo: cada módulo es una etapa, cada entrega es una puerta, y los ciclos ágiles que el equipo adoptó en el Módulo 3 operan dentro de ellas.</w:t>
      </w:r>
    </w:p>
    <w:p>
      <w:pPr>
        <w:spacing w:after="120"/>
        <w:jc w:val="both"/>
      </w:pPr>
      <w:r>
        <w:rPr>
          <w:rFonts w:ascii="Calibri" w:hAnsi="Calibri" w:eastAsia="Calibri"/>
          <w:b/>
          <w:i w:val="0"/>
          <w:sz w:val="22"/>
        </w:rPr>
        <w:t>Semejanza 2.</w:t>
      </w:r>
      <w:r>
        <w:rPr>
          <w:rFonts w:ascii="Calibri" w:hAnsi="Calibri" w:eastAsia="Calibri"/>
          <w:b w:val="0"/>
          <w:i w:val="0"/>
          <w:sz w:val="22"/>
        </w:rPr>
        <w:t xml:space="preserve"> Los autores señalan como desafío la dificultad de contar con equipos dedicados. Los integrantes del grupo comparten esa limitación, porque estudian y trabajan a la vez, y esa dedicación parcial explica en parte por qué los mensajes del chat se leen de forma fragmentada.</w:t>
      </w:r>
    </w:p>
    <w:p>
      <w:pPr>
        <w:spacing w:after="120"/>
        <w:jc w:val="both"/>
      </w:pPr>
      <w:r>
        <w:rPr>
          <w:rFonts w:ascii="Calibri" w:hAnsi="Calibri" w:eastAsia="Calibri"/>
          <w:b/>
          <w:i w:val="0"/>
          <w:sz w:val="22"/>
        </w:rPr>
        <w:t>Diferencia 1.</w:t>
      </w:r>
      <w:r>
        <w:rPr>
          <w:rFonts w:ascii="Calibri" w:hAnsi="Calibri" w:eastAsia="Calibri"/>
          <w:b w:val="0"/>
          <w:i w:val="0"/>
          <w:sz w:val="22"/>
        </w:rPr>
        <w:t xml:space="preserve"> En los casos estudiados, las definiciones del producto cambian durante el desarrollo y eso complica las puertas. En el Grupo 3 la definición parecía fija, porque el enunciado es casi idéntico en cada módulo, y precisamente esa estabilidad aparente hizo que nadie revisara el detalle que sí había cambiado.</w:t>
      </w:r>
    </w:p>
    <w:p>
      <w:pPr>
        <w:keepNext/>
        <w:spacing w:before="220" w:after="120"/>
        <w:jc w:val="left"/>
      </w:pPr>
      <w:r>
        <w:rPr>
          <w:rFonts w:ascii="Calibri" w:hAnsi="Calibri" w:eastAsia="Calibri"/>
          <w:b/>
          <w:i w:val="0"/>
          <w:color w:val="1F3150"/>
          <w:sz w:val="26"/>
        </w:rPr>
        <w:t>6.3. Éxito del proyecto y orientación emprendedora (Radujković y Sjekavica, 2017; Martens et al., 2018)</w:t>
      </w:r>
    </w:p>
    <w:p>
      <w:pPr>
        <w:spacing w:after="120"/>
        <w:jc w:val="both"/>
      </w:pPr>
      <w:r>
        <w:rPr>
          <w:rFonts w:ascii="Calibri" w:hAnsi="Calibri" w:eastAsia="Calibri"/>
          <w:b/>
          <w:i w:val="0"/>
          <w:sz w:val="22"/>
        </w:rPr>
        <w:t>Semejanza 1.</w:t>
      </w:r>
      <w:r>
        <w:rPr>
          <w:rFonts w:ascii="Calibri" w:hAnsi="Calibri" w:eastAsia="Calibri"/>
          <w:b w:val="0"/>
          <w:i w:val="0"/>
          <w:sz w:val="22"/>
        </w:rPr>
        <w:t xml:space="preserve"> Radujković y Sjekavica distinguen el éxito de la gestión del éxito del proyecto. El equipo reconoció que había medido su desempeño casi solo por entregar a tiempo, mientras que los beneficios que más valoraba, como aprender a decidir o a compartir información, no aparecen en ninguna nota.</w:t>
      </w:r>
    </w:p>
    <w:p>
      <w:pPr>
        <w:spacing w:after="120"/>
        <w:jc w:val="both"/>
      </w:pPr>
      <w:r>
        <w:rPr>
          <w:rFonts w:ascii="Calibri" w:hAnsi="Calibri" w:eastAsia="Calibri"/>
          <w:b/>
          <w:i w:val="0"/>
          <w:sz w:val="22"/>
        </w:rPr>
        <w:t>Semejanza 2.</w:t>
      </w:r>
      <w:r>
        <w:rPr>
          <w:rFonts w:ascii="Calibri" w:hAnsi="Calibri" w:eastAsia="Calibri"/>
          <w:b w:val="0"/>
          <w:i w:val="0"/>
          <w:sz w:val="22"/>
        </w:rPr>
        <w:t xml:space="preserve"> Martens y sus colegas asocian la orientación emprendedora con el éxito del proyecto, y entre sus dimensiones incluyen la proactividad. El ejercicio de la sesión fue proactivo en ese sentido: en lugar de esperar a que surgiera un error, el equipo buscó deliberadamente la información que le faltaba.</w:t>
      </w:r>
    </w:p>
    <w:p>
      <w:pPr>
        <w:spacing w:after="120"/>
        <w:jc w:val="both"/>
      </w:pPr>
      <w:r>
        <w:rPr>
          <w:rFonts w:ascii="Calibri" w:hAnsi="Calibri" w:eastAsia="Calibri"/>
          <w:b/>
          <w:i w:val="0"/>
          <w:sz w:val="22"/>
        </w:rPr>
        <w:t>Diferencia 1.</w:t>
      </w:r>
      <w:r>
        <w:rPr>
          <w:rFonts w:ascii="Calibri" w:hAnsi="Calibri" w:eastAsia="Calibri"/>
          <w:b w:val="0"/>
          <w:i w:val="0"/>
          <w:sz w:val="22"/>
        </w:rPr>
        <w:t xml:space="preserve"> Dimensiones como la toma de riesgos o la agresividad competitiva tienen poco espacio en un equipo académico con criterios de evaluación fijos. El grupo concluyó que, en su contexto, la orientación emprendedora se expresa sobre todo en la innovación de sus propias prácticas y no en el producto entregado.</w:t>
      </w:r>
    </w:p>
    <w:p>
      <w:pPr>
        <w:keepNext/>
        <w:spacing w:before="220" w:after="120"/>
        <w:jc w:val="left"/>
      </w:pPr>
      <w:r>
        <w:rPr>
          <w:rFonts w:ascii="Calibri" w:hAnsi="Calibri" w:eastAsia="Calibri"/>
          <w:b/>
          <w:i w:val="0"/>
          <w:color w:val="1F3150"/>
          <w:sz w:val="26"/>
        </w:rPr>
        <w:t>7. Oportunidades de crecimiento y cambio</w:t>
      </w:r>
    </w:p>
    <w:p>
      <w:pPr>
        <w:spacing w:after="120"/>
        <w:jc w:val="both"/>
      </w:pPr>
      <w:r>
        <w:rPr>
          <w:rFonts w:ascii="Calibri" w:hAnsi="Calibri" w:eastAsia="Calibri"/>
          <w:b/>
          <w:i w:val="0"/>
          <w:sz w:val="22"/>
        </w:rPr>
        <w:t>Oportunidad 1. Pedir la información única.</w:t>
      </w:r>
      <w:r>
        <w:rPr>
          <w:rFonts w:ascii="Calibri" w:hAnsi="Calibri" w:eastAsia="Calibri"/>
          <w:b w:val="0"/>
          <w:i w:val="0"/>
          <w:sz w:val="22"/>
        </w:rPr>
        <w:t xml:space="preserve"> Cada reunión comenzará con una ronda breve en la que cada integrante comparte un dato que cree que el resto no conoce. La práctica, nacida del ejercicio de esta sesión, ataca directamente el efecto del conocimiento común y puede aplicarse en cualquier reunión de proyecto en el ámbito laboral.</w:t>
      </w:r>
    </w:p>
    <w:p>
      <w:pPr>
        <w:spacing w:after="120"/>
        <w:jc w:val="both"/>
      </w:pPr>
      <w:r>
        <w:rPr>
          <w:rFonts w:ascii="Calibri" w:hAnsi="Calibri" w:eastAsia="Calibri"/>
          <w:b/>
          <w:i w:val="0"/>
          <w:sz w:val="22"/>
        </w:rPr>
        <w:t>Oportunidad 2. Un canal para cada tipo de mensaje.</w:t>
      </w:r>
      <w:r>
        <w:rPr>
          <w:rFonts w:ascii="Calibri" w:hAnsi="Calibri" w:eastAsia="Calibri"/>
          <w:b w:val="0"/>
          <w:i w:val="0"/>
          <w:sz w:val="22"/>
        </w:rPr>
        <w:t xml:space="preserve"> El chat quedará para la coordinación rápida. Los cambios en los requisitos y las decisiones irán al repositorio, en un registro único que todos revisan antes de cada reunión. Personalmente, varios integrantes reconocieron que habían confundido estar conectados con estar informados.</w:t>
      </w:r>
    </w:p>
    <w:p>
      <w:pPr>
        <w:spacing w:after="120"/>
        <w:jc w:val="both"/>
      </w:pPr>
      <w:r>
        <w:rPr>
          <w:rFonts w:ascii="Calibri" w:hAnsi="Calibri" w:eastAsia="Calibri"/>
          <w:b/>
          <w:i w:val="0"/>
          <w:sz w:val="22"/>
        </w:rPr>
        <w:t>Oportunidad 3. Una memoria transactiva con respaldo.</w:t>
      </w:r>
      <w:r>
        <w:rPr>
          <w:rFonts w:ascii="Calibri" w:hAnsi="Calibri" w:eastAsia="Calibri"/>
          <w:b w:val="0"/>
          <w:i w:val="0"/>
          <w:sz w:val="22"/>
        </w:rPr>
        <w:t xml:space="preserve"> El mapa de quién sabe qué se mantendrá en el repositorio, y cada tarea crítica tendrá una segunda persona que la conozca. En la próxima entrega, el formato APA y la exportación del documento los hará quien no los ha hecho antes, acompañado por quien los domina.</w:t>
      </w:r>
    </w:p>
    <w:p>
      <w:pPr>
        <w:spacing w:after="120"/>
        <w:jc w:val="both"/>
      </w:pPr>
      <w:r>
        <w:rPr>
          <w:rFonts w:ascii="Calibri" w:hAnsi="Calibri" w:eastAsia="Calibri"/>
          <w:b/>
          <w:i w:val="0"/>
          <w:sz w:val="22"/>
        </w:rPr>
        <w:t>Oportunidad 4. Una puerta propia y una medida de éxito más amplia.</w:t>
      </w:r>
      <w:r>
        <w:rPr>
          <w:rFonts w:ascii="Calibri" w:hAnsi="Calibri" w:eastAsia="Calibri"/>
          <w:b w:val="0"/>
          <w:i w:val="0"/>
          <w:sz w:val="22"/>
        </w:rPr>
        <w:t xml:space="preserve"> Antes de cada entrega, el equipo revisará una lista de verificación contra el enunciado vigente, no contra el del módulo anterior. Además, la retrospectiva final evaluará también lo aprendido como equipo, no solo la calificación. El grupo identificó lo que necesita aprender: cómo manejar la sobrecarga de información en equipos que trabajan en línea y cómo se mide el éxito de un proyecto cuando sus beneficios principales son de aprendizaje.</w:t>
      </w:r>
    </w:p>
    <w:p>
      <w:pPr>
        <w:keepNext/>
        <w:spacing w:before="220" w:after="120"/>
        <w:jc w:val="left"/>
      </w:pPr>
      <w:r>
        <w:rPr>
          <w:rFonts w:ascii="Calibri" w:hAnsi="Calibri" w:eastAsia="Calibri"/>
          <w:b/>
          <w:i w:val="0"/>
          <w:color w:val="1F3150"/>
          <w:sz w:val="26"/>
        </w:rPr>
        <w:t>8. Conclusión</w:t>
      </w:r>
    </w:p>
    <w:p>
      <w:pPr>
        <w:spacing w:after="120"/>
        <w:jc w:val="both"/>
      </w:pPr>
      <w:r>
        <w:rPr>
          <w:rFonts w:ascii="Calibri" w:hAnsi="Calibri" w:eastAsia="Calibri"/>
          <w:b w:val="0"/>
          <w:i w:val="0"/>
          <w:sz w:val="22"/>
        </w:rPr>
        <w:t>La cuarta discusión integradora mostró al Grupo 3 que un equipo puede confiar, conversar bien y decidir con método, y aun así fallar porque la información correcta no llega a la conversación. El conocimiento estaba dentro del equipo; lo que faltaba era un modo deliberado de hacerlo circular y un canal adecuado para cada mensaje. Las lecturas del módulo ayudaron a ver que este no es un descuido individual, sino una tendencia propia de los grupos, que solo se corrige con prácticas explícitas. El Módulo 1 dejó al grupo con acuerdos sobre cómo conducirse, el Módulo 2 sobre cómo vincularse, el Módulo 3 sobre cómo decidir y el Módulo 4 sobre cómo compartir lo que sabe. Cada capa se apoya en la anterior, y el equipo entiende ahora que ninguna funciona por sí sola. La efectividad de estos acuerdos se evaluará en la retrospectiva final del equipo.</w:t>
      </w:r>
    </w:p>
    <w:p>
      <w:pPr>
        <w:keepNext/>
        <w:spacing w:before="220" w:after="120"/>
        <w:jc w:val="left"/>
      </w:pPr>
      <w:r>
        <w:rPr>
          <w:rFonts w:ascii="Calibri" w:hAnsi="Calibri" w:eastAsia="Calibri"/>
          <w:b/>
          <w:i w:val="0"/>
          <w:color w:val="1F3150"/>
          <w:sz w:val="26"/>
        </w:rPr>
        <w:t>Referencias</w:t>
      </w:r>
    </w:p>
    <w:p>
      <w:pPr>
        <w:spacing w:after="160"/>
        <w:ind w:left="720" w:hanging="720"/>
        <w:jc w:val="left"/>
      </w:pPr>
      <w:r>
        <w:rPr>
          <w:rFonts w:ascii="Calibri" w:hAnsi="Calibri" w:eastAsia="Calibri"/>
          <w:b w:val="0"/>
          <w:i w:val="0"/>
          <w:sz w:val="22"/>
        </w:rPr>
        <w:t xml:space="preserve">Buvik, M. P., &amp; Tvedt, S. D. (2017). The influence of project commitment and team commitment on the relationship between trust and knowledge sharing in project teams. </w:t>
      </w:r>
      <w:r>
        <w:rPr>
          <w:rFonts w:ascii="Calibri" w:hAnsi="Calibri" w:eastAsia="Calibri"/>
          <w:b w:val="0"/>
          <w:i/>
          <w:sz w:val="22"/>
        </w:rPr>
        <w:t>Project Management Journal, 48</w:t>
      </w:r>
      <w:r>
        <w:rPr>
          <w:rFonts w:ascii="Calibri" w:hAnsi="Calibri" w:eastAsia="Calibri"/>
          <w:b w:val="0"/>
          <w:i w:val="0"/>
          <w:sz w:val="22"/>
        </w:rPr>
        <w:t>(2), 5–21. https://doi.org/10.1177/875697281704800202</w:t>
      </w:r>
    </w:p>
    <w:p>
      <w:pPr>
        <w:spacing w:after="160"/>
        <w:ind w:left="720" w:hanging="720"/>
        <w:jc w:val="left"/>
      </w:pPr>
      <w:r>
        <w:rPr>
          <w:rFonts w:ascii="Calibri" w:hAnsi="Calibri" w:eastAsia="Calibri"/>
          <w:b w:val="0"/>
          <w:i w:val="0"/>
          <w:sz w:val="22"/>
        </w:rPr>
        <w:t xml:space="preserve">Cooper, R. G., &amp; Sommer, A. F. (2018). Agile–Stage-Gate for manufacturers: Changing the way new products are developed. </w:t>
      </w:r>
      <w:r>
        <w:rPr>
          <w:rFonts w:ascii="Calibri" w:hAnsi="Calibri" w:eastAsia="Calibri"/>
          <w:b w:val="0"/>
          <w:i/>
          <w:sz w:val="22"/>
        </w:rPr>
        <w:t>Research-Technology Management, 61</w:t>
      </w:r>
      <w:r>
        <w:rPr>
          <w:rFonts w:ascii="Calibri" w:hAnsi="Calibri" w:eastAsia="Calibri"/>
          <w:b w:val="0"/>
          <w:i w:val="0"/>
          <w:sz w:val="22"/>
        </w:rPr>
        <w:t>(2), 17–26. https://doi.org/10.1080/08956308.2018.1421380</w:t>
      </w:r>
    </w:p>
    <w:p>
      <w:pPr>
        <w:spacing w:after="160"/>
        <w:ind w:left="720" w:hanging="720"/>
        <w:jc w:val="left"/>
      </w:pPr>
      <w:r>
        <w:rPr>
          <w:rFonts w:ascii="Calibri" w:hAnsi="Calibri" w:eastAsia="Calibri"/>
          <w:b w:val="0"/>
          <w:i w:val="0"/>
          <w:sz w:val="22"/>
        </w:rPr>
        <w:t xml:space="preserve">Keyton, J., &amp; Beck, S. J. (2023). </w:t>
      </w:r>
      <w:r>
        <w:rPr>
          <w:rFonts w:ascii="Calibri" w:hAnsi="Calibri" w:eastAsia="Calibri"/>
          <w:b w:val="0"/>
          <w:i/>
          <w:sz w:val="22"/>
        </w:rPr>
        <w:t>Communicating in groups and teams: Strategic interactions</w:t>
      </w:r>
      <w:r>
        <w:rPr>
          <w:rFonts w:ascii="Calibri" w:hAnsi="Calibri" w:eastAsia="Calibri"/>
          <w:b w:val="0"/>
          <w:i w:val="0"/>
          <w:sz w:val="22"/>
        </w:rPr>
        <w:t xml:space="preserve"> (5.ª ed.). Cognella Academic Publishing.</w:t>
      </w:r>
    </w:p>
    <w:p>
      <w:pPr>
        <w:spacing w:after="160"/>
        <w:ind w:left="720" w:hanging="720"/>
        <w:jc w:val="left"/>
      </w:pPr>
      <w:r>
        <w:rPr>
          <w:rFonts w:ascii="Calibri" w:hAnsi="Calibri" w:eastAsia="Calibri"/>
          <w:b w:val="0"/>
          <w:i w:val="0"/>
          <w:sz w:val="22"/>
        </w:rPr>
        <w:t xml:space="preserve">Martens, C. D. P., Machado, F. J., Martens, M. L., Silva, F. Q. P. de O. e, &amp; Freitas, H. M. R. de. (2018). Linking entrepreneurial orientation to project success. </w:t>
      </w:r>
      <w:r>
        <w:rPr>
          <w:rFonts w:ascii="Calibri" w:hAnsi="Calibri" w:eastAsia="Calibri"/>
          <w:b w:val="0"/>
          <w:i/>
          <w:sz w:val="22"/>
        </w:rPr>
        <w:t>International Journal of Project Management, 36</w:t>
      </w:r>
      <w:r>
        <w:rPr>
          <w:rFonts w:ascii="Calibri" w:hAnsi="Calibri" w:eastAsia="Calibri"/>
          <w:b w:val="0"/>
          <w:i w:val="0"/>
          <w:sz w:val="22"/>
        </w:rPr>
        <w:t>(2), 255–266. https://doi.org/10.1016/j.ijproman.2017.10.005</w:t>
      </w:r>
    </w:p>
    <w:p>
      <w:pPr>
        <w:spacing w:after="160"/>
        <w:ind w:left="720" w:hanging="720"/>
        <w:jc w:val="left"/>
      </w:pPr>
      <w:r>
        <w:rPr>
          <w:rFonts w:ascii="Calibri" w:hAnsi="Calibri" w:eastAsia="Calibri"/>
          <w:b w:val="0"/>
          <w:i w:val="0"/>
          <w:sz w:val="22"/>
        </w:rPr>
        <w:t xml:space="preserve">Radujković, M., &amp; Sjekavica, M. (2017). Project management success factors. </w:t>
      </w:r>
      <w:r>
        <w:rPr>
          <w:rFonts w:ascii="Calibri" w:hAnsi="Calibri" w:eastAsia="Calibri"/>
          <w:b w:val="0"/>
          <w:i/>
          <w:sz w:val="22"/>
        </w:rPr>
        <w:t>Procedia Engineering, 196</w:t>
      </w:r>
      <w:r>
        <w:rPr>
          <w:rFonts w:ascii="Calibri" w:hAnsi="Calibri" w:eastAsia="Calibri"/>
          <w:b w:val="0"/>
          <w:i w:val="0"/>
          <w:sz w:val="22"/>
        </w:rPr>
        <w:t>, 607–615. https://doi.org/10.1016/j.proeng.2017.08.048</w:t>
      </w:r>
    </w:p>
    <w:sectPr w:rsidR="00FC693F" w:rsidRPr="0006063C" w:rsidSect="00034616">
      <w:headerReference w:type="default" r:id="rId9"/>
      <w:footerReference w:type="default" r:id="rId10"/>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b w:val="0"/>
        <w:i w:val="0"/>
        <w:color w:val="606060"/>
        <w:sz w:val="18"/>
      </w:rPr>
      <w:t xml:space="preserve">Página </w:t>
    </w:r>
    <w:r>
      <w:rPr>
        <w:rFonts w:ascii="Calibri" w:hAnsi="Calibri" w:eastAsia="Calibri"/>
        <w:b w:val="0"/>
        <w:i w:val="0"/>
        <w:color w:val="606060"/>
        <w:sz w:val="18"/>
      </w:rPr>
      <w:fldChar w:fldCharType="begin"/>
    </w:r>
    <w:r>
      <w:rPr>
        <w:rFonts w:ascii="Calibri" w:hAnsi="Calibri" w:eastAsia="Calibri"/>
        <w:b w:val="0"/>
        <w:i w:val="0"/>
        <w:color w:val="606060"/>
        <w:sz w:val="18"/>
      </w:rPr>
      <w:instrText xml:space="preserve"> PAGE </w:instrText>
    </w:r>
    <w:r>
      <w:rPr>
        <w:rFonts w:ascii="Calibri" w:hAnsi="Calibri" w:eastAsia="Calibri"/>
        <w:b w:val="0"/>
        <w:i w:val="0"/>
        <w:color w:val="60606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5940000" cy="408672"/>
          <wp:docPr id="1" name="Picture 1"/>
          <wp:cNvGraphicFramePr>
            <a:graphicFrameLocks noChangeAspect="1"/>
          </wp:cNvGraphicFramePr>
          <a:graphic>
            <a:graphicData uri="http://schemas.openxmlformats.org/drawingml/2006/picture">
              <pic:pic>
                <pic:nvPicPr>
                  <pic:cNvPr id="0" name="image3.png"/>
                  <pic:cNvPicPr/>
                </pic:nvPicPr>
                <pic:blipFill>
                  <a:blip r:embed="rId1"/>
                  <a:stretch>
                    <a:fillRect/>
                  </a:stretch>
                </pic:blipFill>
                <pic:spPr>
                  <a:xfrm>
                    <a:off x="0" y="0"/>
                    <a:ext cx="5940000" cy="40867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PMG531_M4_Grupo_03</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