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600"/>
        <w:jc w:val="center"/>
      </w:pPr>
      <w:r>
        <w:drawing>
          <wp:inline xmlns:a="http://schemas.openxmlformats.org/drawingml/2006/main" xmlns:pic="http://schemas.openxmlformats.org/drawingml/2006/picture">
            <wp:extent cx="2232000" cy="868324"/>
            <wp:docPr id="1" name="Picture 1"/>
            <wp:cNvGraphicFramePr>
              <a:graphicFrameLocks noChangeAspect="1"/>
            </wp:cNvGraphicFramePr>
            <a:graphic>
              <a:graphicData uri="http://schemas.openxmlformats.org/drawingml/2006/picture">
                <pic:pic>
                  <pic:nvPicPr>
                    <pic:cNvPr id="0" name="image1.jpg"/>
                    <pic:cNvPicPr/>
                  </pic:nvPicPr>
                  <pic:blipFill>
                    <a:blip r:embed="rId11"/>
                    <a:stretch>
                      <a:fillRect/>
                    </a:stretch>
                  </pic:blipFill>
                  <pic:spPr>
                    <a:xfrm>
                      <a:off x="0" y="0"/>
                      <a:ext cx="2232000" cy="868324"/>
                    </a:xfrm>
                    <a:prstGeom prst="rect"/>
                  </pic:spPr>
                </pic:pic>
              </a:graphicData>
            </a:graphic>
          </wp:inline>
        </w:drawing>
      </w:r>
    </w:p>
    <w:p>
      <w:pPr>
        <w:spacing w:after="80"/>
        <w:jc w:val="center"/>
      </w:pPr>
      <w:r>
        <w:rPr>
          <w:rFonts w:ascii="Calibri" w:hAnsi="Calibri" w:eastAsia="Calibri"/>
          <w:b/>
          <w:i w:val="0"/>
          <w:color w:val="1F3150"/>
          <w:sz w:val="44"/>
        </w:rPr>
        <w:t>LIDERAZGO DE EQUIPOS</w:t>
      </w:r>
    </w:p>
    <w:p>
      <w:pPr>
        <w:spacing w:after="40"/>
        <w:jc w:val="center"/>
      </w:pPr>
      <w:r>
        <w:rPr>
          <w:rFonts w:ascii="Calibri" w:hAnsi="Calibri" w:eastAsia="Calibri"/>
          <w:b w:val="0"/>
          <w:i w:val="0"/>
          <w:sz w:val="28"/>
        </w:rPr>
        <w:t>Acta de la discusión integradora de equipo</w:t>
      </w:r>
    </w:p>
    <w:p>
      <w:pPr>
        <w:spacing w:after="920"/>
        <w:jc w:val="center"/>
      </w:pPr>
      <w:r>
        <w:rPr>
          <w:rFonts w:ascii="Calibri" w:hAnsi="Calibri" w:eastAsia="Calibri"/>
          <w:b w:val="0"/>
          <w:i w:val="0"/>
          <w:color w:val="555555"/>
          <w:sz w:val="24"/>
        </w:rPr>
        <w:t>Módulo 1 · Evaluación Sumativa 2 · Grupo 3</w:t>
      </w:r>
    </w:p>
    <w:p>
      <w:pPr>
        <w:spacing w:after="40"/>
        <w:jc w:val="center"/>
      </w:pPr>
      <w:r>
        <w:rPr>
          <w:rFonts w:ascii="Calibri" w:hAnsi="Calibri" w:eastAsia="Calibri"/>
          <w:b/>
          <w:i w:val="0"/>
          <w:sz w:val="22"/>
        </w:rPr>
        <w:t xml:space="preserve">Integrantes: </w:t>
      </w:r>
      <w:r>
        <w:rPr>
          <w:rFonts w:ascii="Calibri" w:hAnsi="Calibri" w:eastAsia="Calibri"/>
          <w:b w:val="0"/>
          <w:i w:val="0"/>
          <w:sz w:val="22"/>
        </w:rPr>
        <w:t>Benjamín Peña Diaz</w:t>
      </w:r>
    </w:p>
    <w:p>
      <w:pPr>
        <w:spacing w:after="40"/>
        <w:jc w:val="center"/>
      </w:pPr>
      <w:r>
        <w:rPr>
          <w:rFonts w:ascii="Calibri" w:hAnsi="Calibri" w:eastAsia="Calibri"/>
          <w:b w:val="0"/>
          <w:i w:val="0"/>
          <w:sz w:val="22"/>
        </w:rPr>
        <w:t>Cristóbal Flores Villegas</w:t>
      </w:r>
    </w:p>
    <w:p>
      <w:pPr>
        <w:spacing w:after="40"/>
        <w:jc w:val="center"/>
      </w:pPr>
      <w:r>
        <w:rPr>
          <w:rFonts w:ascii="Calibri" w:hAnsi="Calibri" w:eastAsia="Calibri"/>
          <w:b w:val="0"/>
          <w:i w:val="0"/>
          <w:sz w:val="22"/>
        </w:rPr>
        <w:t>Cristóbal Hachim Sánchez</w:t>
      </w:r>
    </w:p>
    <w:p>
      <w:pPr>
        <w:spacing w:after="40"/>
        <w:jc w:val="center"/>
      </w:pPr>
      <w:r>
        <w:rPr>
          <w:rFonts w:ascii="Calibri" w:hAnsi="Calibri" w:eastAsia="Calibri"/>
          <w:b w:val="0"/>
          <w:i w:val="0"/>
          <w:sz w:val="22"/>
        </w:rPr>
        <w:t>Cristopher Arredondo Canchis</w:t>
      </w:r>
    </w:p>
    <w:p>
      <w:pPr>
        <w:spacing w:after="40"/>
        <w:jc w:val="center"/>
      </w:pPr>
      <w:r>
        <w:rPr>
          <w:rFonts w:ascii="Calibri" w:hAnsi="Calibri" w:eastAsia="Calibri"/>
          <w:b w:val="0"/>
          <w:i w:val="0"/>
          <w:sz w:val="22"/>
        </w:rPr>
        <w:t>Francisco Morales Díaz</w:t>
      </w:r>
    </w:p>
    <w:p>
      <w:pPr>
        <w:spacing w:after="200"/>
      </w:pPr>
    </w:p>
    <w:p>
      <w:pPr>
        <w:spacing w:after="40"/>
        <w:jc w:val="center"/>
      </w:pPr>
      <w:r>
        <w:rPr>
          <w:rFonts w:ascii="Calibri" w:hAnsi="Calibri" w:eastAsia="Calibri"/>
          <w:b/>
          <w:i w:val="0"/>
          <w:sz w:val="22"/>
        </w:rPr>
        <w:t xml:space="preserve">Asignatura: </w:t>
      </w:r>
      <w:r>
        <w:rPr>
          <w:rFonts w:ascii="Calibri" w:hAnsi="Calibri" w:eastAsia="Calibri"/>
          <w:b w:val="0"/>
          <w:i w:val="0"/>
          <w:sz w:val="22"/>
        </w:rPr>
        <w:t>Liderando Equipos Integradores (PMG531)</w:t>
      </w:r>
    </w:p>
    <w:p>
      <w:pPr>
        <w:spacing w:after="40"/>
        <w:jc w:val="center"/>
      </w:pPr>
      <w:r>
        <w:rPr>
          <w:rFonts w:ascii="Calibri" w:hAnsi="Calibri" w:eastAsia="Calibri"/>
          <w:b/>
          <w:i w:val="0"/>
          <w:sz w:val="22"/>
        </w:rPr>
        <w:t xml:space="preserve">NRC: </w:t>
      </w:r>
      <w:r>
        <w:rPr>
          <w:rFonts w:ascii="Calibri" w:hAnsi="Calibri" w:eastAsia="Calibri"/>
          <w:b w:val="0"/>
          <w:i w:val="0"/>
          <w:sz w:val="22"/>
        </w:rPr>
        <w:t>12109 — Sección 550</w:t>
      </w:r>
    </w:p>
    <w:p>
      <w:pPr>
        <w:spacing w:after="40"/>
        <w:jc w:val="center"/>
      </w:pPr>
      <w:r>
        <w:rPr>
          <w:rFonts w:ascii="Calibri" w:hAnsi="Calibri" w:eastAsia="Calibri"/>
          <w:b/>
          <w:i w:val="0"/>
          <w:sz w:val="22"/>
        </w:rPr>
        <w:t xml:space="preserve">Docente: </w:t>
      </w:r>
      <w:r>
        <w:rPr>
          <w:rFonts w:ascii="Calibri" w:hAnsi="Calibri" w:eastAsia="Calibri"/>
          <w:b w:val="0"/>
          <w:i w:val="0"/>
          <w:sz w:val="22"/>
        </w:rPr>
        <w:t>María Jesús Céspedes</w:t>
      </w:r>
    </w:p>
    <w:p>
      <w:pPr>
        <w:spacing w:after="40"/>
        <w:jc w:val="center"/>
      </w:pPr>
      <w:r>
        <w:rPr>
          <w:rFonts w:ascii="Calibri" w:hAnsi="Calibri" w:eastAsia="Calibri"/>
          <w:b/>
          <w:i w:val="0"/>
          <w:sz w:val="22"/>
        </w:rPr>
        <w:t xml:space="preserve">Correo docente: </w:t>
      </w:r>
      <w:r>
        <w:rPr>
          <w:rFonts w:ascii="Calibri" w:hAnsi="Calibri" w:eastAsia="Calibri"/>
          <w:b w:val="0"/>
          <w:i w:val="0"/>
          <w:sz w:val="22"/>
        </w:rPr>
        <w:t>m.cespedesstuven@uandresbello.edu</w:t>
      </w:r>
    </w:p>
    <w:p>
      <w:pPr>
        <w:spacing w:after="40"/>
        <w:jc w:val="center"/>
      </w:pPr>
      <w:r>
        <w:rPr>
          <w:rFonts w:ascii="Calibri" w:hAnsi="Calibri" w:eastAsia="Calibri"/>
          <w:b/>
          <w:i w:val="0"/>
          <w:sz w:val="22"/>
        </w:rPr>
        <w:t xml:space="preserve">Fecha de entrega: </w:t>
      </w:r>
      <w:r>
        <w:rPr>
          <w:rFonts w:ascii="Calibri" w:hAnsi="Calibri" w:eastAsia="Calibri"/>
          <w:b w:val="0"/>
          <w:i w:val="0"/>
          <w:sz w:val="22"/>
        </w:rPr>
        <w:t>21 de septiembre de 2026</w:t>
      </w:r>
    </w:p>
    <w:p>
      <w:r>
        <w:br w:type="page"/>
      </w:r>
    </w:p>
    <w:p>
      <w:pPr>
        <w:keepNext/>
        <w:spacing w:before="0" w:after="120"/>
        <w:jc w:val="left"/>
      </w:pPr>
      <w:r>
        <w:rPr>
          <w:rFonts w:ascii="Calibri" w:hAnsi="Calibri" w:eastAsia="Calibri"/>
          <w:b/>
          <w:i w:val="0"/>
          <w:color w:val="1F3150"/>
          <w:sz w:val="26"/>
        </w:rPr>
        <w:t>1. Antecedentes de la sesión</w:t>
      </w:r>
    </w:p>
    <w:tbl>
      <w:tblPr>
        <w:tblStyle w:val="TableGrid"/>
        <w:tblW w:type="auto" w:w="0"/>
        <w:jc w:val="center"/>
        <w:tblLook w:firstColumn="1" w:firstRow="1" w:lastColumn="0" w:lastRow="0" w:noHBand="0" w:noVBand="1" w:val="04A0"/>
      </w:tblPr>
      <w:tblGrid>
        <w:gridCol w:w="4680"/>
        <w:gridCol w:w="4680"/>
      </w:tblGrid>
      <w:tr>
        <w:tc>
          <w:tcPr>
            <w:tcW w:type="dxa" w:w="2608"/>
            <w:shd w:val="clear" w:fill="F2F4F8"/>
          </w:tcPr>
          <w:p>
            <w:pPr>
              <w:spacing w:line="240" w:lineRule="auto" w:before="40" w:after="40"/>
              <w:jc w:val="left"/>
            </w:pPr>
            <w:r>
              <w:rPr>
                <w:rFonts w:ascii="Calibri" w:hAnsi="Calibri" w:eastAsia="Calibri"/>
                <w:b/>
                <w:i w:val="0"/>
                <w:sz w:val="20"/>
              </w:rPr>
              <w:t>Equipo</w:t>
            </w:r>
          </w:p>
        </w:tc>
        <w:tc>
          <w:tcPr>
            <w:tcW w:type="dxa" w:w="6746"/>
          </w:tcPr>
          <w:p>
            <w:pPr>
              <w:spacing w:line="240" w:lineRule="auto" w:before="40" w:after="40"/>
              <w:jc w:val="left"/>
            </w:pPr>
            <w:r>
              <w:rPr>
                <w:rFonts w:ascii="Calibri" w:hAnsi="Calibri" w:eastAsia="Calibri"/>
                <w:b w:val="0"/>
                <w:i w:val="0"/>
                <w:sz w:val="20"/>
              </w:rPr>
              <w:t>Grupo 3 — Liderando Equipos Integradores (NRC 12109, Sección 550)</w:t>
            </w:r>
          </w:p>
        </w:tc>
      </w:tr>
      <w:tr>
        <w:tc>
          <w:tcPr>
            <w:tcW w:type="dxa" w:w="2608"/>
            <w:shd w:val="clear" w:fill="F2F4F8"/>
          </w:tcPr>
          <w:p>
            <w:pPr>
              <w:spacing w:line="240" w:lineRule="auto" w:before="40" w:after="40"/>
              <w:jc w:val="left"/>
            </w:pPr>
            <w:r>
              <w:rPr>
                <w:rFonts w:ascii="Calibri" w:hAnsi="Calibri" w:eastAsia="Calibri"/>
                <w:b/>
                <w:i w:val="0"/>
                <w:sz w:val="20"/>
              </w:rPr>
              <w:t>Fecha de la sesión</w:t>
            </w:r>
          </w:p>
        </w:tc>
        <w:tc>
          <w:tcPr>
            <w:tcW w:type="dxa" w:w="6746"/>
          </w:tcPr>
          <w:p>
            <w:pPr>
              <w:spacing w:line="240" w:lineRule="auto" w:before="40" w:after="40"/>
              <w:jc w:val="left"/>
            </w:pPr>
            <w:r>
              <w:rPr>
                <w:rFonts w:ascii="Calibri" w:hAnsi="Calibri" w:eastAsia="Calibri"/>
                <w:b w:val="0"/>
                <w:i w:val="0"/>
                <w:sz w:val="20"/>
              </w:rPr>
              <w:t>17 de septiembre de 2026</w:t>
            </w:r>
          </w:p>
        </w:tc>
      </w:tr>
      <w:tr>
        <w:tc>
          <w:tcPr>
            <w:tcW w:type="dxa" w:w="2608"/>
            <w:shd w:val="clear" w:fill="F2F4F8"/>
          </w:tcPr>
          <w:p>
            <w:pPr>
              <w:spacing w:line="240" w:lineRule="auto" w:before="40" w:after="40"/>
              <w:jc w:val="left"/>
            </w:pPr>
            <w:r>
              <w:rPr>
                <w:rFonts w:ascii="Calibri" w:hAnsi="Calibri" w:eastAsia="Calibri"/>
                <w:b/>
                <w:i w:val="0"/>
                <w:sz w:val="20"/>
              </w:rPr>
              <w:t>Horario y duración</w:t>
            </w:r>
          </w:p>
        </w:tc>
        <w:tc>
          <w:tcPr>
            <w:tcW w:type="dxa" w:w="6746"/>
          </w:tcPr>
          <w:p>
            <w:pPr>
              <w:spacing w:line="240" w:lineRule="auto" w:before="40" w:after="40"/>
              <w:jc w:val="left"/>
            </w:pPr>
            <w:r>
              <w:rPr>
                <w:rFonts w:ascii="Calibri" w:hAnsi="Calibri" w:eastAsia="Calibri"/>
                <w:b w:val="0"/>
                <w:i w:val="0"/>
                <w:sz w:val="20"/>
              </w:rPr>
              <w:t>19:00 a 20:30 horas (90 minutos)</w:t>
            </w:r>
          </w:p>
        </w:tc>
      </w:tr>
      <w:tr>
        <w:tc>
          <w:tcPr>
            <w:tcW w:type="dxa" w:w="2608"/>
            <w:shd w:val="clear" w:fill="F2F4F8"/>
          </w:tcPr>
          <w:p>
            <w:pPr>
              <w:spacing w:line="240" w:lineRule="auto" w:before="40" w:after="40"/>
              <w:jc w:val="left"/>
            </w:pPr>
            <w:r>
              <w:rPr>
                <w:rFonts w:ascii="Calibri" w:hAnsi="Calibri" w:eastAsia="Calibri"/>
                <w:b/>
                <w:i w:val="0"/>
                <w:sz w:val="20"/>
              </w:rPr>
              <w:t>Modalidad</w:t>
            </w:r>
          </w:p>
        </w:tc>
        <w:tc>
          <w:tcPr>
            <w:tcW w:type="dxa" w:w="6746"/>
          </w:tcPr>
          <w:p>
            <w:pPr>
              <w:spacing w:line="240" w:lineRule="auto" w:before="40" w:after="40"/>
              <w:jc w:val="left"/>
            </w:pPr>
            <w:r>
              <w:rPr>
                <w:rFonts w:ascii="Calibri" w:hAnsi="Calibri" w:eastAsia="Calibri"/>
                <w:b w:val="0"/>
                <w:i w:val="0"/>
                <w:sz w:val="20"/>
              </w:rPr>
              <w:t>Videoconferencia sincrónica</w:t>
            </w:r>
          </w:p>
        </w:tc>
      </w:tr>
      <w:tr>
        <w:tc>
          <w:tcPr>
            <w:tcW w:type="dxa" w:w="2608"/>
            <w:shd w:val="clear" w:fill="F2F4F8"/>
          </w:tcPr>
          <w:p>
            <w:pPr>
              <w:spacing w:line="240" w:lineRule="auto" w:before="40" w:after="40"/>
              <w:jc w:val="left"/>
            </w:pPr>
            <w:r>
              <w:rPr>
                <w:rFonts w:ascii="Calibri" w:hAnsi="Calibri" w:eastAsia="Calibri"/>
                <w:b/>
                <w:i w:val="0"/>
                <w:sz w:val="20"/>
              </w:rPr>
              <w:t>Participantes</w:t>
            </w:r>
          </w:p>
        </w:tc>
        <w:tc>
          <w:tcPr>
            <w:tcW w:type="dxa" w:w="6746"/>
          </w:tcPr>
          <w:p>
            <w:pPr>
              <w:spacing w:line="240" w:lineRule="auto" w:before="40" w:after="40"/>
              <w:jc w:val="left"/>
            </w:pPr>
            <w:r>
              <w:rPr>
                <w:rFonts w:ascii="Calibri" w:hAnsi="Calibri" w:eastAsia="Calibri"/>
                <w:b w:val="0"/>
                <w:i w:val="0"/>
                <w:sz w:val="20"/>
              </w:rPr>
              <w:t>Benjamín Peña Diaz, Cristóbal Flores Villegas, Cristóbal Hachim Sánchez, Cristopher Arredondo Canchis y Francisco Morales Díaz (asistencia completa)</w:t>
            </w:r>
          </w:p>
        </w:tc>
      </w:tr>
      <w:tr>
        <w:tc>
          <w:tcPr>
            <w:tcW w:type="dxa" w:w="2608"/>
            <w:shd w:val="clear" w:fill="F2F4F8"/>
          </w:tcPr>
          <w:p>
            <w:pPr>
              <w:spacing w:line="240" w:lineRule="auto" w:before="40" w:after="40"/>
              <w:jc w:val="left"/>
            </w:pPr>
            <w:r>
              <w:rPr>
                <w:rFonts w:ascii="Calibri" w:hAnsi="Calibri" w:eastAsia="Calibri"/>
                <w:b/>
                <w:i w:val="0"/>
                <w:sz w:val="20"/>
              </w:rPr>
              <w:t>Facilitación</w:t>
            </w:r>
          </w:p>
        </w:tc>
        <w:tc>
          <w:tcPr>
            <w:tcW w:type="dxa" w:w="6746"/>
          </w:tcPr>
          <w:p>
            <w:pPr>
              <w:spacing w:line="240" w:lineRule="auto" w:before="40" w:after="40"/>
              <w:jc w:val="left"/>
            </w:pPr>
            <w:r>
              <w:rPr>
                <w:rFonts w:ascii="Calibri" w:hAnsi="Calibri" w:eastAsia="Calibri"/>
                <w:b w:val="0"/>
                <w:i w:val="0"/>
                <w:sz w:val="20"/>
              </w:rPr>
              <w:t>Benjamín Peña Diaz (apertura) y facilitación rotativa durante la sesión</w:t>
            </w:r>
          </w:p>
        </w:tc>
      </w:tr>
      <w:tr>
        <w:tc>
          <w:tcPr>
            <w:tcW w:type="dxa" w:w="2608"/>
            <w:shd w:val="clear" w:fill="F2F4F8"/>
          </w:tcPr>
          <w:p>
            <w:pPr>
              <w:spacing w:line="240" w:lineRule="auto" w:before="40" w:after="40"/>
              <w:jc w:val="left"/>
            </w:pPr>
            <w:r>
              <w:rPr>
                <w:rFonts w:ascii="Calibri" w:hAnsi="Calibri" w:eastAsia="Calibri"/>
                <w:b/>
                <w:i w:val="0"/>
                <w:sz w:val="20"/>
              </w:rPr>
              <w:t>Registro del acta</w:t>
            </w:r>
          </w:p>
        </w:tc>
        <w:tc>
          <w:tcPr>
            <w:tcW w:type="dxa" w:w="6746"/>
          </w:tcPr>
          <w:p>
            <w:pPr>
              <w:spacing w:line="240" w:lineRule="auto" w:before="40" w:after="40"/>
              <w:jc w:val="left"/>
            </w:pPr>
            <w:r>
              <w:rPr>
                <w:rFonts w:ascii="Calibri" w:hAnsi="Calibri" w:eastAsia="Calibri"/>
                <w:b w:val="0"/>
                <w:i w:val="0"/>
                <w:sz w:val="20"/>
              </w:rPr>
              <w:t>Francisco Morales Díaz</w:t>
            </w:r>
          </w:p>
        </w:tc>
      </w:tr>
    </w:tbl>
    <w:p>
      <w:pPr>
        <w:spacing w:after="0"/>
      </w:pPr>
    </w:p>
    <w:p>
      <w:pPr>
        <w:keepNext/>
        <w:spacing w:before="220" w:after="120"/>
        <w:jc w:val="left"/>
      </w:pPr>
      <w:r>
        <w:rPr>
          <w:rFonts w:ascii="Calibri" w:hAnsi="Calibri" w:eastAsia="Calibri"/>
          <w:b/>
          <w:i w:val="0"/>
          <w:color w:val="1F3150"/>
          <w:sz w:val="26"/>
        </w:rPr>
        <w:t>2. Introducción y definición de los constructos</w:t>
      </w:r>
    </w:p>
    <w:p>
      <w:pPr>
        <w:spacing w:after="120"/>
        <w:jc w:val="both"/>
      </w:pPr>
      <w:r>
        <w:rPr>
          <w:rFonts w:ascii="Calibri" w:hAnsi="Calibri" w:eastAsia="Calibri"/>
          <w:b w:val="0"/>
          <w:i w:val="0"/>
          <w:sz w:val="22"/>
        </w:rPr>
        <w:t>El presente informe documenta la discusión integradora sostenida por el Grupo 3 en el marco del Módulo 1 de la asignatura Liderando Equipos Integradores. Su propósito no es relatar la totalidad del trabajo realizado, sino sistematizar los aprendizajes que surgieron al contrastar la literatura sobre liderazgo de equipos con la experiencia concreta de los cinco integrantes.</w:t>
      </w:r>
    </w:p>
    <w:p>
      <w:pPr>
        <w:spacing w:after="120"/>
        <w:jc w:val="both"/>
      </w:pPr>
      <w:r>
        <w:rPr>
          <w:rFonts w:ascii="Calibri" w:hAnsi="Calibri" w:eastAsia="Calibri"/>
          <w:b w:val="0"/>
          <w:i w:val="0"/>
          <w:sz w:val="22"/>
        </w:rPr>
        <w:t xml:space="preserve">Los constructos que organizaron la conversación provienen del capítulo 8, “Leading Groups”, de Keyton y Beck (2023). El primero es el </w:t>
      </w:r>
      <w:r>
        <w:rPr>
          <w:rFonts w:ascii="Calibri" w:hAnsi="Calibri" w:eastAsia="Calibri"/>
          <w:b/>
          <w:i w:val="0"/>
          <w:sz w:val="22"/>
        </w:rPr>
        <w:t>liderazgo de equipos</w:t>
      </w:r>
      <w:r>
        <w:rPr>
          <w:rFonts w:ascii="Calibri" w:hAnsi="Calibri" w:eastAsia="Calibri"/>
          <w:b w:val="0"/>
          <w:i w:val="0"/>
          <w:sz w:val="22"/>
        </w:rPr>
        <w:t xml:space="preserve">, entendido no como un atributo de una persona, sino como un conjunto de comportamientos comunicativos orientados a influir en el grupo para alcanzar una meta común. De esa definición se desprende el segundo constructo: el </w:t>
      </w:r>
      <w:r>
        <w:rPr>
          <w:rFonts w:ascii="Calibri" w:hAnsi="Calibri" w:eastAsia="Calibri"/>
          <w:b/>
          <w:i w:val="0"/>
          <w:sz w:val="22"/>
        </w:rPr>
        <w:t>liderazgo compartido</w:t>
      </w:r>
      <w:r>
        <w:rPr>
          <w:rFonts w:ascii="Calibri" w:hAnsi="Calibri" w:eastAsia="Calibri"/>
          <w:b w:val="0"/>
          <w:i w:val="0"/>
          <w:sz w:val="22"/>
        </w:rPr>
        <w:t xml:space="preserve">, modelo en el que distintos integrantes asumen funciones de conducción de manera simultánea o sucesiva, según lo que la tarea demande en cada momento. Su contrapunto es el </w:t>
      </w:r>
      <w:r>
        <w:rPr>
          <w:rFonts w:ascii="Calibri" w:hAnsi="Calibri" w:eastAsia="Calibri"/>
          <w:b/>
          <w:i w:val="0"/>
          <w:sz w:val="22"/>
        </w:rPr>
        <w:t>liderazgo jerárquico</w:t>
      </w:r>
      <w:r>
        <w:rPr>
          <w:rFonts w:ascii="Calibri" w:hAnsi="Calibri" w:eastAsia="Calibri"/>
          <w:b w:val="0"/>
          <w:i w:val="0"/>
          <w:sz w:val="22"/>
        </w:rPr>
        <w:t>, concentrado en un cargo formal.</w:t>
      </w:r>
    </w:p>
    <w:p>
      <w:pPr>
        <w:spacing w:after="120"/>
        <w:jc w:val="both"/>
      </w:pPr>
      <w:r>
        <w:rPr>
          <w:rFonts w:ascii="Calibri" w:hAnsi="Calibri" w:eastAsia="Calibri"/>
          <w:b w:val="0"/>
          <w:i w:val="0"/>
          <w:sz w:val="22"/>
        </w:rPr>
        <w:t xml:space="preserve">En tercer lugar, los autores distinguen tres </w:t>
      </w:r>
      <w:r>
        <w:rPr>
          <w:rFonts w:ascii="Calibri" w:hAnsi="Calibri" w:eastAsia="Calibri"/>
          <w:b/>
          <w:i w:val="0"/>
          <w:sz w:val="22"/>
        </w:rPr>
        <w:t>competencias de liderazgo</w:t>
      </w:r>
      <w:r>
        <w:rPr>
          <w:rFonts w:ascii="Calibri" w:hAnsi="Calibri" w:eastAsia="Calibri"/>
          <w:b w:val="0"/>
          <w:i w:val="0"/>
          <w:sz w:val="22"/>
        </w:rPr>
        <w:t xml:space="preserve"> que operan de manera complementaria: la </w:t>
      </w:r>
      <w:r>
        <w:rPr>
          <w:rFonts w:ascii="Calibri" w:hAnsi="Calibri" w:eastAsia="Calibri"/>
          <w:b/>
          <w:i w:val="0"/>
          <w:sz w:val="22"/>
        </w:rPr>
        <w:t>procedimental</w:t>
      </w:r>
      <w:r>
        <w:rPr>
          <w:rFonts w:ascii="Calibri" w:hAnsi="Calibri" w:eastAsia="Calibri"/>
          <w:b w:val="0"/>
          <w:i w:val="0"/>
          <w:sz w:val="22"/>
        </w:rPr>
        <w:t xml:space="preserve">, referida a estructurar la tarea mediante metas, expectativas, plazos y agendas; la </w:t>
      </w:r>
      <w:r>
        <w:rPr>
          <w:rFonts w:ascii="Calibri" w:hAnsi="Calibri" w:eastAsia="Calibri"/>
          <w:b/>
          <w:i w:val="0"/>
          <w:sz w:val="22"/>
        </w:rPr>
        <w:t>técnica</w:t>
      </w:r>
      <w:r>
        <w:rPr>
          <w:rFonts w:ascii="Calibri" w:hAnsi="Calibri" w:eastAsia="Calibri"/>
          <w:b w:val="0"/>
          <w:i w:val="0"/>
          <w:sz w:val="22"/>
        </w:rPr>
        <w:t xml:space="preserve">, que consiste en aportar conocimiento experto y ayudar al grupo a comprender la complejidad del trabajo; y la </w:t>
      </w:r>
      <w:r>
        <w:rPr>
          <w:rFonts w:ascii="Calibri" w:hAnsi="Calibri" w:eastAsia="Calibri"/>
          <w:b/>
          <w:i w:val="0"/>
          <w:sz w:val="22"/>
        </w:rPr>
        <w:t>relacional</w:t>
      </w:r>
      <w:r>
        <w:rPr>
          <w:rFonts w:ascii="Calibri" w:hAnsi="Calibri" w:eastAsia="Calibri"/>
          <w:b w:val="0"/>
          <w:i w:val="0"/>
          <w:sz w:val="22"/>
        </w:rPr>
        <w:t>, orientada a sostener la cohesión, la motivación y un clima de participación.</w:t>
      </w:r>
    </w:p>
    <w:p>
      <w:pPr>
        <w:spacing w:after="120"/>
        <w:jc w:val="both"/>
      </w:pPr>
      <w:r>
        <w:rPr>
          <w:rFonts w:ascii="Calibri" w:hAnsi="Calibri" w:eastAsia="Calibri"/>
          <w:b w:val="0"/>
          <w:i w:val="0"/>
          <w:sz w:val="22"/>
        </w:rPr>
        <w:t xml:space="preserve">El cuarto constructo es la distinción entre </w:t>
      </w:r>
      <w:r>
        <w:rPr>
          <w:rFonts w:ascii="Calibri" w:hAnsi="Calibri" w:eastAsia="Calibri"/>
          <w:b/>
          <w:i w:val="0"/>
          <w:sz w:val="22"/>
        </w:rPr>
        <w:t>liderazgo transaccional</w:t>
      </w:r>
      <w:r>
        <w:rPr>
          <w:rFonts w:ascii="Calibri" w:hAnsi="Calibri" w:eastAsia="Calibri"/>
          <w:b w:val="0"/>
          <w:i w:val="0"/>
          <w:sz w:val="22"/>
        </w:rPr>
        <w:t xml:space="preserve"> —basado en el intercambio de recompensas por desempeño— y </w:t>
      </w:r>
      <w:r>
        <w:rPr>
          <w:rFonts w:ascii="Calibri" w:hAnsi="Calibri" w:eastAsia="Calibri"/>
          <w:b/>
          <w:i w:val="0"/>
          <w:sz w:val="22"/>
        </w:rPr>
        <w:t>liderazgo transformacional</w:t>
      </w:r>
      <w:r>
        <w:rPr>
          <w:rFonts w:ascii="Calibri" w:hAnsi="Calibri" w:eastAsia="Calibri"/>
          <w:b w:val="0"/>
          <w:i w:val="0"/>
          <w:sz w:val="22"/>
        </w:rPr>
        <w:t xml:space="preserve">, que opera mediante la influencia idealizada, la motivación inspiracional, la estimulación intelectual y la consideración individualizada (Bass y Riggio, 2006). A ellos se suman dos nociones transversales: la </w:t>
      </w:r>
      <w:r>
        <w:rPr>
          <w:rFonts w:ascii="Calibri" w:hAnsi="Calibri" w:eastAsia="Calibri"/>
          <w:b/>
          <w:i w:val="0"/>
          <w:sz w:val="22"/>
        </w:rPr>
        <w:t>interdependencia</w:t>
      </w:r>
      <w:r>
        <w:rPr>
          <w:rFonts w:ascii="Calibri" w:hAnsi="Calibri" w:eastAsia="Calibri"/>
          <w:b w:val="0"/>
          <w:i w:val="0"/>
          <w:sz w:val="22"/>
        </w:rPr>
        <w:t xml:space="preserve">, es decir, la dependencia mutua entre los integrantes para lograr el resultado, y la </w:t>
      </w:r>
      <w:r>
        <w:rPr>
          <w:rFonts w:ascii="Calibri" w:hAnsi="Calibri" w:eastAsia="Calibri"/>
          <w:b/>
          <w:i w:val="0"/>
          <w:sz w:val="22"/>
        </w:rPr>
        <w:t>seguridad psicológica</w:t>
      </w:r>
      <w:r>
        <w:rPr>
          <w:rFonts w:ascii="Calibri" w:hAnsi="Calibri" w:eastAsia="Calibri"/>
          <w:b w:val="0"/>
          <w:i w:val="0"/>
          <w:sz w:val="22"/>
        </w:rPr>
        <w:t>, definida como la creencia compartida de que el equipo es un espacio seguro para asumir riesgos interpersonales (Edmondson, 1999).</w:t>
      </w:r>
    </w:p>
    <w:p>
      <w:pPr>
        <w:spacing w:after="120"/>
        <w:jc w:val="both"/>
      </w:pPr>
      <w:r>
        <w:rPr>
          <w:rFonts w:ascii="Calibri" w:hAnsi="Calibri" w:eastAsia="Calibri"/>
          <w:b w:val="0"/>
          <w:i w:val="0"/>
          <w:sz w:val="22"/>
        </w:rPr>
        <w:t>Por tratarse del primer módulo de la asignatura, no corresponde establecer conexiones con constructos de módulos previos. En su lugar, el informe deja planteadas las preguntas que el equipo proyecta retomar en los módulos siguientes.</w:t>
      </w:r>
    </w:p>
    <w:p>
      <w:pPr>
        <w:keepNext/>
        <w:spacing w:before="220" w:after="120"/>
        <w:jc w:val="left"/>
      </w:pPr>
      <w:r>
        <w:rPr>
          <w:rFonts w:ascii="Calibri" w:hAnsi="Calibri" w:eastAsia="Calibri"/>
          <w:b/>
          <w:i w:val="0"/>
          <w:color w:val="1F3150"/>
          <w:sz w:val="26"/>
        </w:rPr>
        <w:t>3. Síntesis de las lecturas y los artículos de investigación</w:t>
      </w:r>
    </w:p>
    <w:p>
      <w:pPr>
        <w:spacing w:after="120"/>
        <w:jc w:val="both"/>
      </w:pPr>
      <w:r>
        <w:rPr>
          <w:rFonts w:ascii="Calibri" w:hAnsi="Calibri" w:eastAsia="Calibri"/>
          <w:b/>
          <w:i w:val="0"/>
          <w:sz w:val="22"/>
        </w:rPr>
        <w:t>Keyton y Beck (2023), capítulo 8: “Leading Groups”.</w:t>
      </w:r>
      <w:r>
        <w:rPr>
          <w:rFonts w:ascii="Calibri" w:hAnsi="Calibri" w:eastAsia="Calibri"/>
          <w:b w:val="0"/>
          <w:i w:val="0"/>
          <w:sz w:val="22"/>
        </w:rPr>
        <w:t xml:space="preserve"> Su propósito es ofrecer un marco comunicacional para comprender cómo se ejerce el liderazgo en grupos y equipos, desplazando el foco desde los rasgos del líder hacia las conductas de influencia. Se trata de un capítulo teórico de síntesis, que integra evidencia del campo de la comunicación grupal y la ilustra con casos aplicados. Sus principales planteamientos son que el liderazgo se ejerce fundamentalmente a través de la comunicación; que el liderazgo compartido resulta especialmente adecuado en tareas complejas e interdependientes; que las competencias procedimental, técnica y relacional deben combinarse, siendo el establecimiento de metas y expectativas claras la primera acción de un liderazgo procedimental eficaz; y que el liderazgo emergente surge de la interacción y no del nombramiento formal.</w:t>
      </w:r>
    </w:p>
    <w:p>
      <w:pPr>
        <w:spacing w:after="120"/>
        <w:jc w:val="both"/>
      </w:pPr>
      <w:r>
        <w:rPr>
          <w:rFonts w:ascii="Calibri" w:hAnsi="Calibri" w:eastAsia="Calibri"/>
          <w:b/>
          <w:i w:val="0"/>
          <w:sz w:val="22"/>
        </w:rPr>
        <w:t>Carson, Tesluk y Marrone (2007).</w:t>
      </w:r>
      <w:r>
        <w:rPr>
          <w:rFonts w:ascii="Calibri" w:hAnsi="Calibri" w:eastAsia="Calibri"/>
          <w:b w:val="0"/>
          <w:i w:val="0"/>
          <w:sz w:val="22"/>
        </w:rPr>
        <w:t xml:space="preserve"> El objetivo del estudio fue identificar las condiciones que favorecen la aparición del liderazgo compartido y su relación con el desempeño. Se trata de un estudio de campo con 59 equipos de consultoría que desarrollaron proyectos para clientes reales; el liderazgo compartido se midió como densidad de la red de influencia mediante análisis de redes sociales, y el desempeño fue evaluado externamente por los clientes. Los resultados muestran que el ambiente interno del equipo —propósito compartido, apoyo social y voz— y el acompañamiento externo predicen la emergencia del liderazgo compartido, el que a su vez predice el desempeño del equipo.</w:t>
      </w:r>
    </w:p>
    <w:p>
      <w:pPr>
        <w:spacing w:after="120"/>
        <w:jc w:val="both"/>
      </w:pPr>
      <w:r>
        <w:rPr>
          <w:rFonts w:ascii="Calibri" w:hAnsi="Calibri" w:eastAsia="Calibri"/>
          <w:b/>
          <w:i w:val="0"/>
          <w:sz w:val="22"/>
        </w:rPr>
        <w:t>Wang, Waldman y Zhang (2014).</w:t>
      </w:r>
      <w:r>
        <w:rPr>
          <w:rFonts w:ascii="Calibri" w:hAnsi="Calibri" w:eastAsia="Calibri"/>
          <w:b w:val="0"/>
          <w:i w:val="0"/>
          <w:sz w:val="22"/>
        </w:rPr>
        <w:t xml:space="preserve"> El propósito fue estimar la magnitud de la relación entre liderazgo compartido y efectividad del equipo, así como establecer sus condiciones límite. El diseño corresponde a un metaanálisis que acumuló 42 muestras independientes. Los hallazgos indican una relación positiva global (ρ = .34) y, sobre todo, que el vínculo es considerablemente más fuerte cuando el liderazgo compartido adopta formas transformacionales o carismáticas (ρ = .34) que cuando se limita a conductas directivas tradicionales (ρ = .18). La asociación también se refuerza a medida que aumenta la complejidad de la tarea del equipo.</w:t>
      </w:r>
    </w:p>
    <w:p>
      <w:pPr>
        <w:spacing w:after="120"/>
        <w:jc w:val="both"/>
      </w:pPr>
      <w:r>
        <w:rPr>
          <w:rFonts w:ascii="Calibri" w:hAnsi="Calibri" w:eastAsia="Calibri"/>
          <w:b/>
          <w:i w:val="0"/>
          <w:sz w:val="22"/>
        </w:rPr>
        <w:t>Edmondson (1999).</w:t>
      </w:r>
      <w:r>
        <w:rPr>
          <w:rFonts w:ascii="Calibri" w:hAnsi="Calibri" w:eastAsia="Calibri"/>
          <w:b w:val="0"/>
          <w:i w:val="0"/>
          <w:sz w:val="22"/>
        </w:rPr>
        <w:t xml:space="preserve"> El estudio busca explicar por qué algunos equipos aprenden de sus errores y otros no. Su diseño es un estudio de campo multimétodo en 51 equipos de trabajo de una empresa manufacturera, que combinó encuestas, entrevistas y observación. Los hallazgos establecen que la seguridad psicológica predice la conducta de aprendizaje del equipo —pedir ayuda, admitir errores y discutir problemas abiertamente— y que dicha conducta media la relación entre seguridad psicológica y desempeño. El comportamiento del líder aparece como un antecedente clave de esa seguridad.</w:t>
      </w:r>
    </w:p>
    <w:p>
      <w:pPr>
        <w:keepNext/>
        <w:spacing w:before="220" w:after="120"/>
        <w:jc w:val="left"/>
      </w:pPr>
      <w:r>
        <w:rPr>
          <w:rFonts w:ascii="Calibri" w:hAnsi="Calibri" w:eastAsia="Calibri"/>
          <w:b/>
          <w:i w:val="0"/>
          <w:color w:val="1F3150"/>
          <w:sz w:val="26"/>
        </w:rPr>
        <w:t>4. Los hechos: qué ocurrió dentro del equipo</w:t>
      </w:r>
    </w:p>
    <w:p>
      <w:pPr>
        <w:spacing w:after="120"/>
        <w:jc w:val="both"/>
      </w:pPr>
      <w:r>
        <w:rPr>
          <w:rFonts w:ascii="Calibri" w:hAnsi="Calibri" w:eastAsia="Calibri"/>
          <w:b/>
          <w:i w:val="0"/>
          <w:sz w:val="22"/>
        </w:rPr>
        <w:t>Hecho 1. Constitución del equipo y primera coordinación.</w:t>
      </w:r>
      <w:r>
        <w:rPr>
          <w:rFonts w:ascii="Calibri" w:hAnsi="Calibri" w:eastAsia="Calibri"/>
          <w:b w:val="0"/>
          <w:i w:val="0"/>
          <w:sz w:val="22"/>
        </w:rPr>
        <w:t xml:space="preserve"> El Grupo 3 quedó conformado por cinco integrantes que no habían trabajado juntos con anterioridad. La primera coordinación se realizó por mensajería instantánea durante la semana inicial del módulo y tuvo un carácter esencialmente logístico: se definió el canal oficial de comunicación, se acordó una reunión sincrónica semanal y se levantó un inventario de disponibilidad horaria. No se asignaron roles en esa instancia, decisión que más adelante el equipo identificó como una omisión relevante.</w:t>
      </w:r>
    </w:p>
    <w:p>
      <w:pPr>
        <w:spacing w:after="120"/>
        <w:jc w:val="both"/>
      </w:pPr>
      <w:r>
        <w:rPr>
          <w:rFonts w:ascii="Calibri" w:hAnsi="Calibri" w:eastAsia="Calibri"/>
          <w:b/>
          <w:i w:val="0"/>
          <w:sz w:val="22"/>
        </w:rPr>
        <w:t>Hecho 2. Desarrollo de la sesión de discusión integradora.</w:t>
      </w:r>
      <w:r>
        <w:rPr>
          <w:rFonts w:ascii="Calibri" w:hAnsi="Calibri" w:eastAsia="Calibri"/>
          <w:b w:val="0"/>
          <w:i w:val="0"/>
          <w:sz w:val="22"/>
        </w:rPr>
        <w:t xml:space="preserve"> La discusión se realizó por videoconferencia y se extendió por noventa minutos. Benjamín Peña asumió la facilitación inicial, presentó los constructos del capítulo 8 y propuso una ronda en la que cada integrante relatara una experiencia previa de trabajo en equipo. Francisco Morales llevó el registro del acta. A medida que avanzó la conversación, la conducción se desplazó de manera espontánea: Cristóbal Hachim tomó el liderazgo al discutirse los aspectos metodológicos de los artículos y Cristopher Arredondo reencauzó la conversación en dos ocasiones en que el grupo se desvió hacia temas operativos de la entrega.</w:t>
      </w:r>
    </w:p>
    <w:p>
      <w:pPr>
        <w:spacing w:after="120"/>
        <w:jc w:val="both"/>
      </w:pPr>
      <w:r>
        <w:rPr>
          <w:rFonts w:ascii="Calibri" w:hAnsi="Calibri" w:eastAsia="Calibri"/>
          <w:b/>
          <w:i w:val="0"/>
          <w:sz w:val="22"/>
        </w:rPr>
        <w:t>Hecho 3. Un episodio de tensión por la distribución de la carga.</w:t>
      </w:r>
      <w:r>
        <w:rPr>
          <w:rFonts w:ascii="Calibri" w:hAnsi="Calibri" w:eastAsia="Calibri"/>
          <w:b w:val="0"/>
          <w:i w:val="0"/>
          <w:sz w:val="22"/>
        </w:rPr>
        <w:t xml:space="preserve"> Alrededor del minuto cuarenta surgió un desacuerdo. Cristóbal Flores planteó que la distribución de tareas de la primera semana había recaído de manera desigual y que dos integrantes habían asumido un volumen de trabajo notoriamente mayor. El comentario generó un silencio incómodo y varios integrantes reconocieron después haber experimentado una reacción inicialmente defensiva. En lugar de cerrar el tema, la facilitación lo incorporó a la agenda y solicitó a cada integrante describir el tiempo efectivamente dedicado. El ejercicio confirmó que la percepción era correcta y que su origen no era la falta de compromiso, sino la ausencia de una asignación explícita de responsabilidades.</w:t>
      </w:r>
    </w:p>
    <w:p>
      <w:pPr>
        <w:spacing w:after="120"/>
        <w:jc w:val="both"/>
      </w:pPr>
      <w:r>
        <w:rPr>
          <w:rFonts w:ascii="Calibri" w:hAnsi="Calibri" w:eastAsia="Calibri"/>
          <w:b/>
          <w:i w:val="0"/>
          <w:sz w:val="22"/>
        </w:rPr>
        <w:t>Hecho 4. Resultados y acuerdos de la sesión.</w:t>
      </w:r>
      <w:r>
        <w:rPr>
          <w:rFonts w:ascii="Calibri" w:hAnsi="Calibri" w:eastAsia="Calibri"/>
          <w:b w:val="0"/>
          <w:i w:val="0"/>
          <w:sz w:val="22"/>
        </w:rPr>
        <w:t xml:space="preserve"> El encuentro cerró con tres acuerdos operativos: rotar la facilitación en cada reunión, establecer una agenda escrita con responsables y plazos antes de cada encuentro, y destinar los últimos diez minutos de cada sesión a una ronda de cierre en la que cada integrante pudiera plantear dificultades. El clima al término de la reunión fue percibido como notoriamente mejor que al inicio. El equipo coincidió en que haber abordado el desacuerdo de manera directa, en lugar de evitarlo, constituyó el punto de inflexión de la sesión.</w:t>
      </w:r>
    </w:p>
    <w:p>
      <w:pPr>
        <w:keepNext/>
        <w:spacing w:before="220" w:after="120"/>
        <w:jc w:val="left"/>
      </w:pPr>
      <w:r>
        <w:rPr>
          <w:rFonts w:ascii="Calibri" w:hAnsi="Calibri" w:eastAsia="Calibri"/>
          <w:b/>
          <w:i w:val="0"/>
          <w:color w:val="1F3150"/>
          <w:sz w:val="26"/>
        </w:rPr>
        <w:t>5. Comparaciones: semejanzas y diferencias con la literatura</w:t>
      </w:r>
    </w:p>
    <w:p>
      <w:pPr>
        <w:spacing w:after="120"/>
        <w:jc w:val="both"/>
      </w:pPr>
      <w:r>
        <w:rPr>
          <w:rFonts w:ascii="Calibri" w:hAnsi="Calibri" w:eastAsia="Calibri"/>
          <w:b w:val="0"/>
          <w:i w:val="0"/>
          <w:sz w:val="22"/>
        </w:rPr>
        <w:t>A continuación se contrastan tres experiencias relatadas en las lecturas y los artículos de investigación con las vivencias del equipo, señalando tres semejanzas o diferencias en cada caso.</w:t>
      </w:r>
    </w:p>
    <w:p>
      <w:pPr>
        <w:keepNext/>
        <w:spacing w:before="180" w:after="80"/>
        <w:jc w:val="left"/>
      </w:pPr>
      <w:r>
        <w:rPr>
          <w:rFonts w:ascii="Calibri" w:hAnsi="Calibri" w:eastAsia="Calibri"/>
          <w:b/>
          <w:i w:val="0"/>
          <w:color w:val="1F3150"/>
          <w:sz w:val="23"/>
        </w:rPr>
        <w:t>5.1. La emergencia del liderazgo compartido (Carson, Tesluk y Marrone, 2007)</w:t>
      </w:r>
    </w:p>
    <w:p>
      <w:pPr>
        <w:spacing w:after="120"/>
        <w:jc w:val="both"/>
      </w:pPr>
      <w:r>
        <w:rPr>
          <w:rFonts w:ascii="Calibri" w:hAnsi="Calibri" w:eastAsia="Calibri"/>
          <w:b/>
          <w:i w:val="0"/>
          <w:sz w:val="22"/>
        </w:rPr>
        <w:t>Semejanza 1.</w:t>
      </w:r>
      <w:r>
        <w:rPr>
          <w:rFonts w:ascii="Calibri" w:hAnsi="Calibri" w:eastAsia="Calibri"/>
          <w:b w:val="0"/>
          <w:i w:val="0"/>
          <w:sz w:val="22"/>
        </w:rPr>
        <w:t xml:space="preserve"> En el estudio, el liderazgo compartido no fue designado, sino que emergió de la interacción. En el Grupo 3 ocurrió lo mismo: la conducción se desplazó entre Benjamín Peña, Cristóbal Hachim y Cristopher Arredondo sin designación previa, según lo que cada tramo de la conversación requería.</w:t>
      </w:r>
    </w:p>
    <w:p>
      <w:pPr>
        <w:spacing w:after="120"/>
        <w:jc w:val="both"/>
      </w:pPr>
      <w:r>
        <w:rPr>
          <w:rFonts w:ascii="Calibri" w:hAnsi="Calibri" w:eastAsia="Calibri"/>
          <w:b/>
          <w:i w:val="0"/>
          <w:sz w:val="22"/>
        </w:rPr>
        <w:t>Semejanza 2.</w:t>
      </w:r>
      <w:r>
        <w:rPr>
          <w:rFonts w:ascii="Calibri" w:hAnsi="Calibri" w:eastAsia="Calibri"/>
          <w:b w:val="0"/>
          <w:i w:val="0"/>
          <w:sz w:val="22"/>
        </w:rPr>
        <w:t xml:space="preserve"> Los autores identifican el apoyo social y la voz como condiciones internas que habilitan el liderazgo compartido. El equipo constató que este se distribuyó solo después de validarse la intervención de Cristóbal Flores sobre la carga de trabajo: mientras ese malestar no se expresó, la participación estuvo concentrada en dos personas.</w:t>
      </w:r>
    </w:p>
    <w:p>
      <w:pPr>
        <w:spacing w:after="120"/>
        <w:jc w:val="both"/>
      </w:pPr>
      <w:r>
        <w:rPr>
          <w:rFonts w:ascii="Calibri" w:hAnsi="Calibri" w:eastAsia="Calibri"/>
          <w:b/>
          <w:i w:val="0"/>
          <w:sz w:val="22"/>
        </w:rPr>
        <w:t>Diferencia 1.</w:t>
      </w:r>
      <w:r>
        <w:rPr>
          <w:rFonts w:ascii="Calibri" w:hAnsi="Calibri" w:eastAsia="Calibri"/>
          <w:b w:val="0"/>
          <w:i w:val="0"/>
          <w:sz w:val="22"/>
        </w:rPr>
        <w:t xml:space="preserve"> Los equipos estudiados contaron con coaching externo, un antecedente que la investigación identifica como predictor significativo. El Grupo 3 no dispuso de un apoyo equivalente y debió autorregularse, lo que explica que la distribución del liderazgo tardara cerca de media reunión en producirse.</w:t>
      </w:r>
    </w:p>
    <w:p>
      <w:pPr>
        <w:keepNext/>
        <w:spacing w:before="180" w:after="80"/>
        <w:jc w:val="left"/>
      </w:pPr>
      <w:r>
        <w:rPr>
          <w:rFonts w:ascii="Calibri" w:hAnsi="Calibri" w:eastAsia="Calibri"/>
          <w:b/>
          <w:i w:val="0"/>
          <w:color w:val="1F3150"/>
          <w:sz w:val="23"/>
        </w:rPr>
        <w:t>5.2. Las competencias de liderazgo (Keyton y Beck, 2023)</w:t>
      </w:r>
    </w:p>
    <w:p>
      <w:pPr>
        <w:spacing w:after="120"/>
        <w:jc w:val="both"/>
      </w:pPr>
      <w:r>
        <w:rPr>
          <w:rFonts w:ascii="Calibri" w:hAnsi="Calibri" w:eastAsia="Calibri"/>
          <w:b/>
          <w:i w:val="0"/>
          <w:sz w:val="22"/>
        </w:rPr>
        <w:t>Semejanza 1.</w:t>
      </w:r>
      <w:r>
        <w:rPr>
          <w:rFonts w:ascii="Calibri" w:hAnsi="Calibri" w:eastAsia="Calibri"/>
          <w:b w:val="0"/>
          <w:i w:val="0"/>
          <w:sz w:val="22"/>
        </w:rPr>
        <w:t xml:space="preserve"> Los autores sostienen que la primera acción de un liderazgo procedimental eficaz es establecer metas y expectativas claras. La experiencia del equipo lo confirmó por omisión: el conflicto de la primera semana se originó precisamente en la ausencia de esa definición inicial y se disolvió cuando se explicitaron responsables y plazos.</w:t>
      </w:r>
    </w:p>
    <w:p>
      <w:pPr>
        <w:spacing w:after="120"/>
        <w:jc w:val="both"/>
      </w:pPr>
      <w:r>
        <w:rPr>
          <w:rFonts w:ascii="Calibri" w:hAnsi="Calibri" w:eastAsia="Calibri"/>
          <w:b/>
          <w:i w:val="0"/>
          <w:sz w:val="22"/>
        </w:rPr>
        <w:t>Semejanza 2.</w:t>
      </w:r>
      <w:r>
        <w:rPr>
          <w:rFonts w:ascii="Calibri" w:hAnsi="Calibri" w:eastAsia="Calibri"/>
          <w:b w:val="0"/>
          <w:i w:val="0"/>
          <w:sz w:val="22"/>
        </w:rPr>
        <w:t xml:space="preserve"> El capítulo describe la competencia técnica como la capacidad de ayudar al grupo a comprender la complejidad de la tarea. Esto se observó cuando Cristóbal Hachim explicó la medición del liderazgo compartido como densidad de red y permitió que el resto del equipo dimensionara el alcance de los hallazgos.</w:t>
      </w:r>
    </w:p>
    <w:p>
      <w:pPr>
        <w:spacing w:after="120"/>
        <w:jc w:val="both"/>
      </w:pPr>
      <w:r>
        <w:rPr>
          <w:rFonts w:ascii="Calibri" w:hAnsi="Calibri" w:eastAsia="Calibri"/>
          <w:b/>
          <w:i w:val="0"/>
          <w:sz w:val="22"/>
        </w:rPr>
        <w:t>Diferencia 1.</w:t>
      </w:r>
      <w:r>
        <w:rPr>
          <w:rFonts w:ascii="Calibri" w:hAnsi="Calibri" w:eastAsia="Calibri"/>
          <w:b w:val="0"/>
          <w:i w:val="0"/>
          <w:sz w:val="22"/>
        </w:rPr>
        <w:t xml:space="preserve"> La lectura presenta las tres competencias como dimensiones que un mismo líder puede desarrollar de manera integrada. En el equipo, en cambio, aparecieron radicadas en personas distintas: la procedimental en quien facilitaba, la técnica en quien manejaba la literatura y la relacional en quien descomprimió la tensión. Donde el texto sugiere integración, la experiencia mostró especialización.</w:t>
      </w:r>
    </w:p>
    <w:p>
      <w:pPr>
        <w:keepNext/>
        <w:spacing w:before="180" w:after="80"/>
        <w:jc w:val="left"/>
      </w:pPr>
      <w:r>
        <w:rPr>
          <w:rFonts w:ascii="Calibri" w:hAnsi="Calibri" w:eastAsia="Calibri"/>
          <w:b/>
          <w:i w:val="0"/>
          <w:color w:val="1F3150"/>
          <w:sz w:val="23"/>
        </w:rPr>
        <w:t>5.3. Liderazgo transformacional y seguridad psicológica (Bass y Riggio, 2006; Edmondson, 1999)</w:t>
      </w:r>
    </w:p>
    <w:p>
      <w:pPr>
        <w:spacing w:after="120"/>
        <w:jc w:val="both"/>
      </w:pPr>
      <w:r>
        <w:rPr>
          <w:rFonts w:ascii="Calibri" w:hAnsi="Calibri" w:eastAsia="Calibri"/>
          <w:b/>
          <w:i w:val="0"/>
          <w:sz w:val="22"/>
        </w:rPr>
        <w:t>Semejanza 1.</w:t>
      </w:r>
      <w:r>
        <w:rPr>
          <w:rFonts w:ascii="Calibri" w:hAnsi="Calibri" w:eastAsia="Calibri"/>
          <w:b w:val="0"/>
          <w:i w:val="0"/>
          <w:sz w:val="22"/>
        </w:rPr>
        <w:t xml:space="preserve"> Edmondson describe la seguridad psicológica como la condición que permite admitir errores y plantear problemas sin temor a la sanción del grupo. El equipo vivió una versión reducida de ese mecanismo: el punto de inflexión de la sesión fue que una crítica incómoda pudiera formularse y que el grupo no la desestimara.</w:t>
      </w:r>
    </w:p>
    <w:p>
      <w:pPr>
        <w:spacing w:after="120"/>
        <w:jc w:val="both"/>
      </w:pPr>
      <w:r>
        <w:rPr>
          <w:rFonts w:ascii="Calibri" w:hAnsi="Calibri" w:eastAsia="Calibri"/>
          <w:b/>
          <w:i w:val="0"/>
          <w:sz w:val="22"/>
        </w:rPr>
        <w:t>Semejanza 2.</w:t>
      </w:r>
      <w:r>
        <w:rPr>
          <w:rFonts w:ascii="Calibri" w:hAnsi="Calibri" w:eastAsia="Calibri"/>
          <w:b w:val="0"/>
          <w:i w:val="0"/>
          <w:sz w:val="22"/>
        </w:rPr>
        <w:t xml:space="preserve"> La consideración individualizada, uno de los cuatro componentes del liderazgo transformacional, supone reconocer las contribuciones de cada integrante. El reconocimiento explícito del trabajo adicional realizado por dos miembros produjo un cambio inmediato en el clima de la reunión, coherente con el modelo.</w:t>
      </w:r>
    </w:p>
    <w:p>
      <w:pPr>
        <w:spacing w:after="120"/>
        <w:jc w:val="both"/>
      </w:pPr>
      <w:r>
        <w:rPr>
          <w:rFonts w:ascii="Calibri" w:hAnsi="Calibri" w:eastAsia="Calibri"/>
          <w:b/>
          <w:i w:val="0"/>
          <w:sz w:val="22"/>
        </w:rPr>
        <w:t>Diferencia 1.</w:t>
      </w:r>
      <w:r>
        <w:rPr>
          <w:rFonts w:ascii="Calibri" w:hAnsi="Calibri" w:eastAsia="Calibri"/>
          <w:b w:val="0"/>
          <w:i w:val="0"/>
          <w:sz w:val="22"/>
        </w:rPr>
        <w:t xml:space="preserve"> En Edmondson, la seguridad psicológica es una propiedad relativamente estable, construida a lo largo del tiempo y sostenida por la conducta de un líder formal. En el Grupo 3 no existe tal figura y la confianza se produjo de forma puntual, en un episodio aislado: no se trata aún de una característica consolidada, sino de un precedente que el equipo deberá sostener.</w:t>
      </w:r>
    </w:p>
    <w:p>
      <w:pPr>
        <w:keepNext/>
        <w:spacing w:before="220" w:after="120"/>
        <w:jc w:val="left"/>
      </w:pPr>
      <w:r>
        <w:rPr>
          <w:rFonts w:ascii="Calibri" w:hAnsi="Calibri" w:eastAsia="Calibri"/>
          <w:b/>
          <w:i w:val="0"/>
          <w:color w:val="1F3150"/>
          <w:sz w:val="26"/>
        </w:rPr>
        <w:t>6. Oportunidades de crecimiento y cambio</w:t>
      </w:r>
    </w:p>
    <w:p>
      <w:pPr>
        <w:spacing w:after="120"/>
        <w:jc w:val="both"/>
      </w:pPr>
      <w:r>
        <w:rPr>
          <w:rFonts w:ascii="Calibri" w:hAnsi="Calibri" w:eastAsia="Calibri"/>
          <w:b/>
          <w:i w:val="0"/>
          <w:sz w:val="22"/>
        </w:rPr>
        <w:t>Oportunidad 1. Instalar el liderazgo procedimental desde el primer minuto.</w:t>
      </w:r>
      <w:r>
        <w:rPr>
          <w:rFonts w:ascii="Calibri" w:hAnsi="Calibri" w:eastAsia="Calibri"/>
          <w:b w:val="0"/>
          <w:i w:val="0"/>
          <w:sz w:val="22"/>
        </w:rPr>
        <w:t xml:space="preserve"> El aprendizaje más inmediato es que la claridad estructural previene conflictos que después resultan costosos de reparar. El equipo acordó que toda reunión futura contará con una agenda enviada al menos veinticuatro horas antes, en la que consten los responsables y los plazos de cada tarea. Esta acción se aplicará en las entregas restantes de la asignatura y es directamente trasladable a las reuniones de proyecto en los contextos laborales de los integrantes.</w:t>
      </w:r>
    </w:p>
    <w:p>
      <w:pPr>
        <w:spacing w:after="120"/>
        <w:jc w:val="both"/>
      </w:pPr>
      <w:r>
        <w:rPr>
          <w:rFonts w:ascii="Calibri" w:hAnsi="Calibri" w:eastAsia="Calibri"/>
          <w:b/>
          <w:i w:val="0"/>
          <w:sz w:val="22"/>
        </w:rPr>
        <w:t>Oportunidad 2. Rotar deliberadamente la facilitación.</w:t>
      </w:r>
      <w:r>
        <w:rPr>
          <w:rFonts w:ascii="Calibri" w:hAnsi="Calibri" w:eastAsia="Calibri"/>
          <w:b w:val="0"/>
          <w:i w:val="0"/>
          <w:sz w:val="22"/>
        </w:rPr>
        <w:t xml:space="preserve"> Si el liderazgo compartido se asocia a mejores resultados en tareas complejas, conviene producirlo de manera intencionada en lugar de esperar que emerja. El equipo rotará la facilitación en cada sesión, de modo que los cinco integrantes ejerzan el rol al menos una vez. Varios señalaron que esta decisión los obliga a abandonar una posición cómoda: quienes habitualmente participan poco deberán conducir, y quienes tienden a concentrar la palabra deberán ceder espacio.</w:t>
      </w:r>
    </w:p>
    <w:p>
      <w:pPr>
        <w:spacing w:after="120"/>
        <w:jc w:val="both"/>
      </w:pPr>
      <w:r>
        <w:rPr>
          <w:rFonts w:ascii="Calibri" w:hAnsi="Calibri" w:eastAsia="Calibri"/>
          <w:b/>
          <w:i w:val="0"/>
          <w:sz w:val="22"/>
        </w:rPr>
        <w:t>Oportunidad 3. Crear mecanismos estables de voz.</w:t>
      </w:r>
      <w:r>
        <w:rPr>
          <w:rFonts w:ascii="Calibri" w:hAnsi="Calibri" w:eastAsia="Calibri"/>
          <w:b w:val="0"/>
          <w:i w:val="0"/>
          <w:sz w:val="22"/>
        </w:rPr>
        <w:t xml:space="preserve"> La experiencia mostró que el malestar existía antes de ser verbalizado y que el equipo perdió tiempo por no disponer de un espacio donde expresarlo. La ronda de cierre de diez minutos acordada en la sesión se institucionalizará como práctica permanente y se incorporará en ella una pregunta explícita sobre la carga de trabajo percibida. El objetivo es no depender de que alguien reúna el valor suficiente para plantear el problema.</w:t>
      </w:r>
    </w:p>
    <w:p>
      <w:pPr>
        <w:spacing w:after="120"/>
        <w:jc w:val="both"/>
      </w:pPr>
      <w:r>
        <w:rPr>
          <w:rFonts w:ascii="Calibri" w:hAnsi="Calibri" w:eastAsia="Calibri"/>
          <w:b/>
          <w:i w:val="0"/>
          <w:sz w:val="22"/>
        </w:rPr>
        <w:t>Oportunidad 4. Profundizar la lectura e incorporar retroalimentación individualizada.</w:t>
      </w:r>
      <w:r>
        <w:rPr>
          <w:rFonts w:ascii="Calibri" w:hAnsi="Calibri" w:eastAsia="Calibri"/>
          <w:b w:val="0"/>
          <w:i w:val="0"/>
          <w:sz w:val="22"/>
        </w:rPr>
        <w:t xml:space="preserve"> El equipo reconoció que su comprensión del liderazgo transformacional es todavía general y que necesita distinguir con mayor precisión sus cuatro componentes antes de afirmar que los aplica. Se acordó destinar una sección de la próxima reunión a revisar evidencia adicional sobre liderazgo transformacional y efectividad, e incorporar un reconocimiento explícito de los aportes individuales al cierre de cada entrega. En el plano personal, la discusión modificó el modo en que los integrantes entienden su participación: el liderazgo dejó de percibirse como una responsabilidad delegable en quien coordina y pasó a entenderse como una conducta que cada integrante puede ejercer.</w:t>
      </w:r>
    </w:p>
    <w:p>
      <w:pPr>
        <w:keepNext/>
        <w:spacing w:before="220" w:after="120"/>
        <w:jc w:val="left"/>
      </w:pPr>
      <w:r>
        <w:rPr>
          <w:rFonts w:ascii="Calibri" w:hAnsi="Calibri" w:eastAsia="Calibri"/>
          <w:b/>
          <w:i w:val="0"/>
          <w:color w:val="1F3150"/>
          <w:sz w:val="26"/>
        </w:rPr>
        <w:t>7. Conclusión</w:t>
      </w:r>
    </w:p>
    <w:p>
      <w:pPr>
        <w:spacing w:after="120"/>
        <w:jc w:val="both"/>
      </w:pPr>
      <w:r>
        <w:rPr>
          <w:rFonts w:ascii="Calibri" w:hAnsi="Calibri" w:eastAsia="Calibri"/>
          <w:b w:val="0"/>
          <w:i w:val="0"/>
          <w:sz w:val="22"/>
        </w:rPr>
        <w:t>La discusión integradora permitió al Grupo 3 constatar que los constructos del Módulo 1 no operan como categorías abstractas, sino como descripciones precisas de dinámicas que el equipo ya estaba experimentando sin nombrarlas. El hallazgo central es que el liderazgo compartido no se decreta: requiere condiciones previas —estructura procedimental, voz y seguridad psicológica— que el equipo debe construir de manera deliberada. Las acciones comprometidas en este informe buscan precisamente producir esas condiciones y serán evaluadas al cierre del próximo módulo.</w:t>
      </w:r>
    </w:p>
    <w:p>
      <w:pPr>
        <w:keepNext/>
        <w:pageBreakBefore/>
        <w:spacing w:before="220" w:after="120"/>
        <w:jc w:val="left"/>
      </w:pPr>
      <w:r>
        <w:rPr>
          <w:rFonts w:ascii="Calibri" w:hAnsi="Calibri" w:eastAsia="Calibri"/>
          <w:b/>
          <w:i w:val="0"/>
          <w:color w:val="1F3150"/>
          <w:sz w:val="26"/>
        </w:rPr>
        <w:t>Referencias</w:t>
      </w:r>
    </w:p>
    <w:p>
      <w:pPr>
        <w:spacing w:after="160"/>
        <w:ind w:left="720" w:hanging="720"/>
        <w:jc w:val="left"/>
      </w:pPr>
      <w:r>
        <w:rPr>
          <w:rFonts w:ascii="Calibri" w:hAnsi="Calibri" w:eastAsia="Calibri"/>
          <w:b w:val="0"/>
          <w:i w:val="0"/>
          <w:sz w:val="22"/>
        </w:rPr>
        <w:t xml:space="preserve">Bass, B. M., &amp; Riggio, R. E. (2006). </w:t>
      </w:r>
      <w:r>
        <w:rPr>
          <w:rFonts w:ascii="Calibri" w:hAnsi="Calibri" w:eastAsia="Calibri"/>
          <w:b w:val="0"/>
          <w:i/>
          <w:sz w:val="22"/>
        </w:rPr>
        <w:t>Transformational leadership</w:t>
      </w:r>
      <w:r>
        <w:rPr>
          <w:rFonts w:ascii="Calibri" w:hAnsi="Calibri" w:eastAsia="Calibri"/>
          <w:b w:val="0"/>
          <w:i w:val="0"/>
          <w:sz w:val="22"/>
        </w:rPr>
        <w:t xml:space="preserve"> (2.ª ed.). Lawrence Erlbaum Associates.</w:t>
      </w:r>
    </w:p>
    <w:p>
      <w:pPr>
        <w:spacing w:after="160"/>
        <w:ind w:left="720" w:hanging="720"/>
        <w:jc w:val="left"/>
      </w:pPr>
      <w:r>
        <w:rPr>
          <w:rFonts w:ascii="Calibri" w:hAnsi="Calibri" w:eastAsia="Calibri"/>
          <w:b w:val="0"/>
          <w:i w:val="0"/>
          <w:sz w:val="22"/>
        </w:rPr>
        <w:t xml:space="preserve">Carson, J. B., Tesluk, P. E., &amp; Marrone, J. A. (2007). Shared leadership in teams: An investigation of antecedent conditions and performance. </w:t>
      </w:r>
      <w:r>
        <w:rPr>
          <w:rFonts w:ascii="Calibri" w:hAnsi="Calibri" w:eastAsia="Calibri"/>
          <w:b w:val="0"/>
          <w:i/>
          <w:sz w:val="22"/>
        </w:rPr>
        <w:t>Academy of Management Journal, 50</w:t>
      </w:r>
      <w:r>
        <w:rPr>
          <w:rFonts w:ascii="Calibri" w:hAnsi="Calibri" w:eastAsia="Calibri"/>
          <w:b w:val="0"/>
          <w:i w:val="0"/>
          <w:sz w:val="22"/>
        </w:rPr>
        <w:t>(5), 1217–1234. https://doi.org/10.5465/amj.2007.20159921</w:t>
      </w:r>
    </w:p>
    <w:p>
      <w:pPr>
        <w:spacing w:after="160"/>
        <w:ind w:left="720" w:hanging="720"/>
        <w:jc w:val="left"/>
      </w:pPr>
      <w:r>
        <w:rPr>
          <w:rFonts w:ascii="Calibri" w:hAnsi="Calibri" w:eastAsia="Calibri"/>
          <w:b w:val="0"/>
          <w:i w:val="0"/>
          <w:sz w:val="22"/>
        </w:rPr>
        <w:t xml:space="preserve">Edmondson, A. (1999). Psychological safety and learning behavior in work teams. </w:t>
      </w:r>
      <w:r>
        <w:rPr>
          <w:rFonts w:ascii="Calibri" w:hAnsi="Calibri" w:eastAsia="Calibri"/>
          <w:b w:val="0"/>
          <w:i/>
          <w:sz w:val="22"/>
        </w:rPr>
        <w:t>Administrative Science Quarterly, 44</w:t>
      </w:r>
      <w:r>
        <w:rPr>
          <w:rFonts w:ascii="Calibri" w:hAnsi="Calibri" w:eastAsia="Calibri"/>
          <w:b w:val="0"/>
          <w:i w:val="0"/>
          <w:sz w:val="22"/>
        </w:rPr>
        <w:t>(2), 350–383. https://doi.org/10.2307/2666999</w:t>
      </w:r>
    </w:p>
    <w:p>
      <w:pPr>
        <w:spacing w:after="160"/>
        <w:ind w:left="720" w:hanging="720"/>
        <w:jc w:val="left"/>
      </w:pPr>
      <w:r>
        <w:rPr>
          <w:rFonts w:ascii="Calibri" w:hAnsi="Calibri" w:eastAsia="Calibri"/>
          <w:b w:val="0"/>
          <w:i w:val="0"/>
          <w:sz w:val="22"/>
        </w:rPr>
        <w:t xml:space="preserve">Keyton, J., &amp; Beck, S. J. (2023). </w:t>
      </w:r>
      <w:r>
        <w:rPr>
          <w:rFonts w:ascii="Calibri" w:hAnsi="Calibri" w:eastAsia="Calibri"/>
          <w:b w:val="0"/>
          <w:i/>
          <w:sz w:val="22"/>
        </w:rPr>
        <w:t>Communicating in groups and teams: Strategic interactions</w:t>
      </w:r>
      <w:r>
        <w:rPr>
          <w:rFonts w:ascii="Calibri" w:hAnsi="Calibri" w:eastAsia="Calibri"/>
          <w:b w:val="0"/>
          <w:i w:val="0"/>
          <w:sz w:val="22"/>
        </w:rPr>
        <w:t xml:space="preserve"> (5.ª ed.). Cognella Academic Publishing.</w:t>
      </w:r>
    </w:p>
    <w:p>
      <w:pPr>
        <w:spacing w:after="160"/>
        <w:ind w:left="720" w:hanging="720"/>
        <w:jc w:val="left"/>
      </w:pPr>
      <w:r>
        <w:rPr>
          <w:rFonts w:ascii="Calibri" w:hAnsi="Calibri" w:eastAsia="Calibri"/>
          <w:b w:val="0"/>
          <w:i w:val="0"/>
          <w:sz w:val="22"/>
        </w:rPr>
        <w:t xml:space="preserve">Wang, D., Waldman, D. A., &amp; Zhang, Z. (2014). A meta-analysis of shared leadership and team effectiveness. </w:t>
      </w:r>
      <w:r>
        <w:rPr>
          <w:rFonts w:ascii="Calibri" w:hAnsi="Calibri" w:eastAsia="Calibri"/>
          <w:b w:val="0"/>
          <w:i/>
          <w:sz w:val="22"/>
        </w:rPr>
        <w:t>Journal of Applied Psychology, 99</w:t>
      </w:r>
      <w:r>
        <w:rPr>
          <w:rFonts w:ascii="Calibri" w:hAnsi="Calibri" w:eastAsia="Calibri"/>
          <w:b w:val="0"/>
          <w:i w:val="0"/>
          <w:sz w:val="22"/>
        </w:rPr>
        <w:t>(2), 181–198. https://doi.org/10.1037/a0034531</w:t>
      </w:r>
    </w:p>
    <w:sectPr w:rsidR="00FC693F" w:rsidRPr="0006063C" w:rsidSect="00034616">
      <w:headerReference w:type="default" r:id="rId9"/>
      <w:footerReference w:type="default" r:id="rId10"/>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b w:val="0"/>
        <w:i w:val="0"/>
        <w:color w:val="606060"/>
        <w:sz w:val="18"/>
      </w:rPr>
      <w:t xml:space="preserve">Página </w:t>
    </w:r>
    <w:r>
      <w:rPr>
        <w:rFonts w:ascii="Calibri" w:hAnsi="Calibri" w:eastAsia="Calibri"/>
        <w:b w:val="0"/>
        <w:i w:val="0"/>
        <w:color w:val="606060"/>
        <w:sz w:val="18"/>
      </w:rPr>
      <w:fldChar w:fldCharType="begin"/>
    </w:r>
    <w:r>
      <w:rPr>
        <w:rFonts w:ascii="Calibri" w:hAnsi="Calibri" w:eastAsia="Calibri"/>
        <w:b w:val="0"/>
        <w:i w:val="0"/>
        <w:color w:val="606060"/>
        <w:sz w:val="18"/>
      </w:rPr>
      <w:instrText xml:space="preserve"> PAGE </w:instrText>
    </w:r>
    <w:r>
      <w:rPr>
        <w:rFonts w:ascii="Calibri" w:hAnsi="Calibri" w:eastAsia="Calibri"/>
        <w:b w:val="0"/>
        <w:i w:val="0"/>
        <w:color w:val="606060"/>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940000" cy="408672"/>
          <wp:docPr id="1" name="Picture 1"/>
          <wp:cNvGraphicFramePr>
            <a:graphicFrameLocks noChangeAspect="1"/>
          </wp:cNvGraphicFramePr>
          <a:graphic>
            <a:graphicData uri="http://schemas.openxmlformats.org/drawingml/2006/picture">
              <pic:pic>
                <pic:nvPicPr>
                  <pic:cNvPr id="0" name="image3.png"/>
                  <pic:cNvPicPr/>
                </pic:nvPicPr>
                <pic:blipFill>
                  <a:blip r:embed="rId1"/>
                  <a:stretch>
                    <a:fillRect/>
                  </a:stretch>
                </pic:blipFill>
                <pic:spPr>
                  <a:xfrm>
                    <a:off x="0" y="0"/>
                    <a:ext cx="5940000" cy="4086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