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jc w:val="center"/>
      </w:pPr>
      <w:r>
        <w:drawing>
          <wp:inline xmlns:a="http://schemas.openxmlformats.org/drawingml/2006/main" xmlns:pic="http://schemas.openxmlformats.org/drawingml/2006/picture">
            <wp:extent cx="2232000" cy="868324"/>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2232000" cy="868324"/>
                    </a:xfrm>
                    <a:prstGeom prst="rect"/>
                  </pic:spPr>
                </pic:pic>
              </a:graphicData>
            </a:graphic>
          </wp:inline>
        </w:drawing>
      </w:r>
    </w:p>
    <w:p>
      <w:pPr>
        <w:spacing w:after="80"/>
        <w:jc w:val="center"/>
      </w:pPr>
      <w:r>
        <w:rPr>
          <w:rFonts w:ascii="Calibri" w:hAnsi="Calibri" w:eastAsia="Calibri"/>
          <w:b/>
          <w:i w:val="0"/>
          <w:color w:val="1F3150"/>
          <w:sz w:val="44"/>
        </w:rPr>
        <w:t>LIDERAZGO DE EQUIPOS</w:t>
      </w:r>
    </w:p>
    <w:p>
      <w:pPr>
        <w:spacing w:after="40"/>
        <w:jc w:val="center"/>
      </w:pPr>
      <w:r>
        <w:rPr>
          <w:rFonts w:ascii="Calibri" w:hAnsi="Calibri" w:eastAsia="Calibri"/>
          <w:b w:val="0"/>
          <w:i w:val="0"/>
          <w:sz w:val="28"/>
        </w:rPr>
        <w:t>Acta de la discusión integradora de equipo</w:t>
      </w:r>
    </w:p>
    <w:p>
      <w:pPr>
        <w:spacing w:after="920"/>
        <w:jc w:val="center"/>
      </w:pPr>
      <w:r>
        <w:rPr>
          <w:rFonts w:ascii="Calibri" w:hAnsi="Calibri" w:eastAsia="Calibri"/>
          <w:b w:val="0"/>
          <w:i w:val="0"/>
          <w:color w:val="555555"/>
          <w:sz w:val="24"/>
        </w:rPr>
        <w:t>Módulo 2 · Evaluación Sumativa 4 · Grupo 3</w:t>
      </w:r>
    </w:p>
    <w:p>
      <w:pPr>
        <w:spacing w:after="40"/>
        <w:jc w:val="center"/>
      </w:pPr>
      <w:r>
        <w:rPr>
          <w:rFonts w:ascii="Calibri" w:hAnsi="Calibri" w:eastAsia="Calibri"/>
          <w:b/>
          <w:i w:val="0"/>
          <w:sz w:val="22"/>
        </w:rPr>
        <w:t xml:space="preserve">Integrantes: </w:t>
      </w:r>
      <w:r>
        <w:rPr>
          <w:rFonts w:ascii="Calibri" w:hAnsi="Calibri" w:eastAsia="Calibri"/>
          <w:b w:val="0"/>
          <w:i w:val="0"/>
          <w:sz w:val="22"/>
        </w:rPr>
        <w:t>Benjamín Peña Diaz</w:t>
      </w:r>
    </w:p>
    <w:p>
      <w:pPr>
        <w:spacing w:after="40"/>
        <w:jc w:val="center"/>
      </w:pPr>
      <w:r>
        <w:rPr>
          <w:rFonts w:ascii="Calibri" w:hAnsi="Calibri" w:eastAsia="Calibri"/>
          <w:b w:val="0"/>
          <w:i w:val="0"/>
          <w:sz w:val="22"/>
        </w:rPr>
        <w:t>Cristóbal Flores Villegas</w:t>
      </w:r>
    </w:p>
    <w:p>
      <w:pPr>
        <w:spacing w:after="40"/>
        <w:jc w:val="center"/>
      </w:pPr>
      <w:r>
        <w:rPr>
          <w:rFonts w:ascii="Calibri" w:hAnsi="Calibri" w:eastAsia="Calibri"/>
          <w:b w:val="0"/>
          <w:i w:val="0"/>
          <w:sz w:val="22"/>
        </w:rPr>
        <w:t>Cristóbal Hachim Sánchez</w:t>
      </w:r>
    </w:p>
    <w:p>
      <w:pPr>
        <w:spacing w:after="40"/>
        <w:jc w:val="center"/>
      </w:pPr>
      <w:r>
        <w:rPr>
          <w:rFonts w:ascii="Calibri" w:hAnsi="Calibri" w:eastAsia="Calibri"/>
          <w:b w:val="0"/>
          <w:i w:val="0"/>
          <w:sz w:val="22"/>
        </w:rPr>
        <w:t>Cristopher Arredondo Canchis</w:t>
      </w:r>
    </w:p>
    <w:p>
      <w:pPr>
        <w:spacing w:after="40"/>
        <w:jc w:val="center"/>
      </w:pPr>
      <w:r>
        <w:rPr>
          <w:rFonts w:ascii="Calibri" w:hAnsi="Calibri" w:eastAsia="Calibri"/>
          <w:b w:val="0"/>
          <w:i w:val="0"/>
          <w:sz w:val="22"/>
        </w:rPr>
        <w:t>Francisco Morales Díaz</w:t>
      </w:r>
    </w:p>
    <w:p>
      <w:pPr>
        <w:spacing w:after="200"/>
      </w:pPr>
    </w:p>
    <w:p>
      <w:pPr>
        <w:spacing w:after="40"/>
        <w:jc w:val="center"/>
      </w:pPr>
      <w:r>
        <w:rPr>
          <w:rFonts w:ascii="Calibri" w:hAnsi="Calibri" w:eastAsia="Calibri"/>
          <w:b/>
          <w:i w:val="0"/>
          <w:sz w:val="22"/>
        </w:rPr>
        <w:t xml:space="preserve">Asignatura: </w:t>
      </w:r>
      <w:r>
        <w:rPr>
          <w:rFonts w:ascii="Calibri" w:hAnsi="Calibri" w:eastAsia="Calibri"/>
          <w:b w:val="0"/>
          <w:i w:val="0"/>
          <w:sz w:val="22"/>
        </w:rPr>
        <w:t>Liderando Equipos Integradores (PMG531)</w:t>
      </w:r>
    </w:p>
    <w:p>
      <w:pPr>
        <w:spacing w:after="40"/>
        <w:jc w:val="center"/>
      </w:pPr>
      <w:r>
        <w:rPr>
          <w:rFonts w:ascii="Calibri" w:hAnsi="Calibri" w:eastAsia="Calibri"/>
          <w:b/>
          <w:i w:val="0"/>
          <w:sz w:val="22"/>
        </w:rPr>
        <w:t xml:space="preserve">NRC: </w:t>
      </w:r>
      <w:r>
        <w:rPr>
          <w:rFonts w:ascii="Calibri" w:hAnsi="Calibri" w:eastAsia="Calibri"/>
          <w:b w:val="0"/>
          <w:i w:val="0"/>
          <w:sz w:val="22"/>
        </w:rPr>
        <w:t>12109 — Sección 550</w:t>
      </w:r>
    </w:p>
    <w:p>
      <w:pPr>
        <w:spacing w:after="40"/>
        <w:jc w:val="center"/>
      </w:pPr>
      <w:r>
        <w:rPr>
          <w:rFonts w:ascii="Calibri" w:hAnsi="Calibri" w:eastAsia="Calibri"/>
          <w:b/>
          <w:i w:val="0"/>
          <w:sz w:val="22"/>
        </w:rPr>
        <w:t xml:space="preserve">Docente: </w:t>
      </w:r>
      <w:r>
        <w:rPr>
          <w:rFonts w:ascii="Calibri" w:hAnsi="Calibri" w:eastAsia="Calibri"/>
          <w:b w:val="0"/>
          <w:i w:val="0"/>
          <w:sz w:val="22"/>
        </w:rPr>
        <w:t>María Jesús Céspedes</w:t>
      </w:r>
    </w:p>
    <w:p>
      <w:pPr>
        <w:spacing w:after="40"/>
        <w:jc w:val="center"/>
      </w:pPr>
      <w:r>
        <w:rPr>
          <w:rFonts w:ascii="Calibri" w:hAnsi="Calibri" w:eastAsia="Calibri"/>
          <w:b/>
          <w:i w:val="0"/>
          <w:sz w:val="22"/>
        </w:rPr>
        <w:t xml:space="preserve">Correo docente: </w:t>
      </w:r>
      <w:r>
        <w:rPr>
          <w:rFonts w:ascii="Calibri" w:hAnsi="Calibri" w:eastAsia="Calibri"/>
          <w:b w:val="0"/>
          <w:i w:val="0"/>
          <w:sz w:val="22"/>
        </w:rPr>
        <w:t>m.cespedesstuven@uandresbello.edu</w:t>
      </w:r>
    </w:p>
    <w:p>
      <w:pPr>
        <w:spacing w:after="40"/>
        <w:jc w:val="center"/>
      </w:pPr>
      <w:r>
        <w:rPr>
          <w:rFonts w:ascii="Calibri" w:hAnsi="Calibri" w:eastAsia="Calibri"/>
          <w:b/>
          <w:i w:val="0"/>
          <w:sz w:val="22"/>
        </w:rPr>
        <w:t xml:space="preserve">Fecha de entrega: </w:t>
      </w:r>
      <w:r>
        <w:rPr>
          <w:rFonts w:ascii="Calibri" w:hAnsi="Calibri" w:eastAsia="Calibri"/>
          <w:b w:val="0"/>
          <w:i w:val="0"/>
          <w:sz w:val="22"/>
        </w:rPr>
        <w:t>12 de octubre de 2026</w:t>
      </w:r>
    </w:p>
    <w:p>
      <w:r>
        <w:br w:type="page"/>
      </w:r>
    </w:p>
    <w:p>
      <w:pPr>
        <w:keepNext/>
        <w:spacing w:before="0" w:after="120"/>
        <w:jc w:val="left"/>
      </w:pPr>
      <w:r>
        <w:rPr>
          <w:rFonts w:ascii="Calibri" w:hAnsi="Calibri" w:eastAsia="Calibri"/>
          <w:b/>
          <w:i w:val="0"/>
          <w:color w:val="1F3150"/>
          <w:sz w:val="26"/>
        </w:rPr>
        <w:t>1. Antecedentes de la sesión</w:t>
      </w:r>
    </w:p>
    <w:tbl>
      <w:tblPr>
        <w:tblStyle w:val="TableGrid"/>
        <w:tblW w:type="auto" w:w="0"/>
        <w:jc w:val="center"/>
        <w:tblLook w:firstColumn="1" w:firstRow="1" w:lastColumn="0" w:lastRow="0" w:noHBand="0" w:noVBand="1" w:val="04A0"/>
      </w:tblPr>
      <w:tblGrid>
        <w:gridCol w:w="4680"/>
        <w:gridCol w:w="4680"/>
      </w:tblGrid>
      <w:tr>
        <w:tc>
          <w:tcPr>
            <w:tcW w:type="dxa" w:w="2608"/>
            <w:shd w:val="clear" w:fill="F2F4F8"/>
          </w:tcPr>
          <w:p>
            <w:pPr>
              <w:spacing w:line="240" w:lineRule="auto" w:before="40" w:after="40"/>
              <w:jc w:val="left"/>
            </w:pPr>
            <w:r>
              <w:rPr>
                <w:rFonts w:ascii="Calibri" w:hAnsi="Calibri" w:eastAsia="Calibri"/>
                <w:b/>
                <w:i w:val="0"/>
                <w:sz w:val="20"/>
              </w:rPr>
              <w:t>Equipo</w:t>
            </w:r>
          </w:p>
        </w:tc>
        <w:tc>
          <w:tcPr>
            <w:tcW w:type="dxa" w:w="6746"/>
          </w:tcPr>
          <w:p>
            <w:pPr>
              <w:spacing w:line="240" w:lineRule="auto" w:before="40" w:after="40"/>
              <w:jc w:val="left"/>
            </w:pPr>
            <w:r>
              <w:rPr>
                <w:rFonts w:ascii="Calibri" w:hAnsi="Calibri" w:eastAsia="Calibri"/>
                <w:b w:val="0"/>
                <w:i w:val="0"/>
                <w:sz w:val="20"/>
              </w:rPr>
              <w:t>Grupo 3 — Liderando Equipos Integradores (NRC 12109, Sección 550)</w:t>
            </w:r>
          </w:p>
        </w:tc>
      </w:tr>
      <w:tr>
        <w:tc>
          <w:tcPr>
            <w:tcW w:type="dxa" w:w="2608"/>
            <w:shd w:val="clear" w:fill="F2F4F8"/>
          </w:tcPr>
          <w:p>
            <w:pPr>
              <w:spacing w:line="240" w:lineRule="auto" w:before="40" w:after="40"/>
              <w:jc w:val="left"/>
            </w:pPr>
            <w:r>
              <w:rPr>
                <w:rFonts w:ascii="Calibri" w:hAnsi="Calibri" w:eastAsia="Calibri"/>
                <w:b/>
                <w:i w:val="0"/>
                <w:sz w:val="20"/>
              </w:rPr>
              <w:t>Fecha de la sesión</w:t>
            </w:r>
          </w:p>
        </w:tc>
        <w:tc>
          <w:tcPr>
            <w:tcW w:type="dxa" w:w="6746"/>
          </w:tcPr>
          <w:p>
            <w:pPr>
              <w:spacing w:line="240" w:lineRule="auto" w:before="40" w:after="40"/>
              <w:jc w:val="left"/>
            </w:pPr>
            <w:r>
              <w:rPr>
                <w:rFonts w:ascii="Calibri" w:hAnsi="Calibri" w:eastAsia="Calibri"/>
                <w:b w:val="0"/>
                <w:i w:val="0"/>
                <w:sz w:val="20"/>
              </w:rPr>
              <w:t>8 de octubre de 2026</w:t>
            </w:r>
          </w:p>
        </w:tc>
      </w:tr>
      <w:tr>
        <w:tc>
          <w:tcPr>
            <w:tcW w:type="dxa" w:w="2608"/>
            <w:shd w:val="clear" w:fill="F2F4F8"/>
          </w:tcPr>
          <w:p>
            <w:pPr>
              <w:spacing w:line="240" w:lineRule="auto" w:before="40" w:after="40"/>
              <w:jc w:val="left"/>
            </w:pPr>
            <w:r>
              <w:rPr>
                <w:rFonts w:ascii="Calibri" w:hAnsi="Calibri" w:eastAsia="Calibri"/>
                <w:b/>
                <w:i w:val="0"/>
                <w:sz w:val="20"/>
              </w:rPr>
              <w:t>Horario y duración</w:t>
            </w:r>
          </w:p>
        </w:tc>
        <w:tc>
          <w:tcPr>
            <w:tcW w:type="dxa" w:w="6746"/>
          </w:tcPr>
          <w:p>
            <w:pPr>
              <w:spacing w:line="240" w:lineRule="auto" w:before="40" w:after="40"/>
              <w:jc w:val="left"/>
            </w:pPr>
            <w:r>
              <w:rPr>
                <w:rFonts w:ascii="Calibri" w:hAnsi="Calibri" w:eastAsia="Calibri"/>
                <w:b w:val="0"/>
                <w:i w:val="0"/>
                <w:sz w:val="20"/>
              </w:rPr>
              <w:t>19:00 a 20:20 horas (80 minutos)</w:t>
            </w:r>
          </w:p>
        </w:tc>
      </w:tr>
      <w:tr>
        <w:tc>
          <w:tcPr>
            <w:tcW w:type="dxa" w:w="2608"/>
            <w:shd w:val="clear" w:fill="F2F4F8"/>
          </w:tcPr>
          <w:p>
            <w:pPr>
              <w:spacing w:line="240" w:lineRule="auto" w:before="40" w:after="40"/>
              <w:jc w:val="left"/>
            </w:pPr>
            <w:r>
              <w:rPr>
                <w:rFonts w:ascii="Calibri" w:hAnsi="Calibri" w:eastAsia="Calibri"/>
                <w:b/>
                <w:i w:val="0"/>
                <w:sz w:val="20"/>
              </w:rPr>
              <w:t>Modalidad</w:t>
            </w:r>
          </w:p>
        </w:tc>
        <w:tc>
          <w:tcPr>
            <w:tcW w:type="dxa" w:w="6746"/>
          </w:tcPr>
          <w:p>
            <w:pPr>
              <w:spacing w:line="240" w:lineRule="auto" w:before="40" w:after="40"/>
              <w:jc w:val="left"/>
            </w:pPr>
            <w:r>
              <w:rPr>
                <w:rFonts w:ascii="Calibri" w:hAnsi="Calibri" w:eastAsia="Calibri"/>
                <w:b w:val="0"/>
                <w:i w:val="0"/>
                <w:sz w:val="20"/>
              </w:rPr>
              <w:t>Videoconferencia sincrónica con grabación</w:t>
            </w:r>
          </w:p>
        </w:tc>
      </w:tr>
      <w:tr>
        <w:tc>
          <w:tcPr>
            <w:tcW w:type="dxa" w:w="2608"/>
            <w:shd w:val="clear" w:fill="F2F4F8"/>
          </w:tcPr>
          <w:p>
            <w:pPr>
              <w:spacing w:line="240" w:lineRule="auto" w:before="40" w:after="40"/>
              <w:jc w:val="left"/>
            </w:pPr>
            <w:r>
              <w:rPr>
                <w:rFonts w:ascii="Calibri" w:hAnsi="Calibri" w:eastAsia="Calibri"/>
                <w:b/>
                <w:i w:val="0"/>
                <w:sz w:val="20"/>
              </w:rPr>
              <w:t>Participantes</w:t>
            </w:r>
          </w:p>
        </w:tc>
        <w:tc>
          <w:tcPr>
            <w:tcW w:type="dxa" w:w="6746"/>
          </w:tcPr>
          <w:p>
            <w:pPr>
              <w:spacing w:line="240" w:lineRule="auto" w:before="40" w:after="40"/>
              <w:jc w:val="left"/>
            </w:pPr>
            <w:r>
              <w:rPr>
                <w:rFonts w:ascii="Calibri" w:hAnsi="Calibri" w:eastAsia="Calibri"/>
                <w:b w:val="0"/>
                <w:i w:val="0"/>
                <w:sz w:val="20"/>
              </w:rPr>
              <w:t>Benjamín Peña Diaz, Cristóbal Flores Villegas, Cristóbal Hachim Sánchez, Cristopher Arredondo Canchis y Francisco Morales Díaz (asistencia completa)</w:t>
            </w:r>
          </w:p>
        </w:tc>
      </w:tr>
      <w:tr>
        <w:tc>
          <w:tcPr>
            <w:tcW w:type="dxa" w:w="2608"/>
            <w:shd w:val="clear" w:fill="F2F4F8"/>
          </w:tcPr>
          <w:p>
            <w:pPr>
              <w:spacing w:line="240" w:lineRule="auto" w:before="40" w:after="40"/>
              <w:jc w:val="left"/>
            </w:pPr>
            <w:r>
              <w:rPr>
                <w:rFonts w:ascii="Calibri" w:hAnsi="Calibri" w:eastAsia="Calibri"/>
                <w:b/>
                <w:i w:val="0"/>
                <w:sz w:val="20"/>
              </w:rPr>
              <w:t>Facilitación</w:t>
            </w:r>
          </w:p>
        </w:tc>
        <w:tc>
          <w:tcPr>
            <w:tcW w:type="dxa" w:w="6746"/>
          </w:tcPr>
          <w:p>
            <w:pPr>
              <w:spacing w:line="240" w:lineRule="auto" w:before="40" w:after="40"/>
              <w:jc w:val="left"/>
            </w:pPr>
            <w:r>
              <w:rPr>
                <w:rFonts w:ascii="Calibri" w:hAnsi="Calibri" w:eastAsia="Calibri"/>
                <w:b w:val="0"/>
                <w:i w:val="0"/>
                <w:sz w:val="20"/>
              </w:rPr>
              <w:t>Cristóbal Flores Villegas, según la rotación acordada en el Módulo 1</w:t>
            </w:r>
          </w:p>
        </w:tc>
      </w:tr>
      <w:tr>
        <w:tc>
          <w:tcPr>
            <w:tcW w:type="dxa" w:w="2608"/>
            <w:shd w:val="clear" w:fill="F2F4F8"/>
          </w:tcPr>
          <w:p>
            <w:pPr>
              <w:spacing w:line="240" w:lineRule="auto" w:before="40" w:after="40"/>
              <w:jc w:val="left"/>
            </w:pPr>
            <w:r>
              <w:rPr>
                <w:rFonts w:ascii="Calibri" w:hAnsi="Calibri" w:eastAsia="Calibri"/>
                <w:b/>
                <w:i w:val="0"/>
                <w:sz w:val="20"/>
              </w:rPr>
              <w:t>Registro del acta</w:t>
            </w:r>
          </w:p>
        </w:tc>
        <w:tc>
          <w:tcPr>
            <w:tcW w:type="dxa" w:w="6746"/>
          </w:tcPr>
          <w:p>
            <w:pPr>
              <w:spacing w:line="240" w:lineRule="auto" w:before="40" w:after="40"/>
              <w:jc w:val="left"/>
            </w:pPr>
            <w:r>
              <w:rPr>
                <w:rFonts w:ascii="Calibri" w:hAnsi="Calibri" w:eastAsia="Calibri"/>
                <w:b w:val="0"/>
                <w:i w:val="0"/>
                <w:sz w:val="20"/>
              </w:rPr>
              <w:t>Cristopher Arredondo Canchis</w:t>
            </w:r>
          </w:p>
        </w:tc>
      </w:tr>
      <w:tr>
        <w:tc>
          <w:tcPr>
            <w:tcW w:type="dxa" w:w="2608"/>
            <w:shd w:val="clear" w:fill="F2F4F8"/>
          </w:tcPr>
          <w:p>
            <w:pPr>
              <w:spacing w:line="240" w:lineRule="auto" w:before="40" w:after="40"/>
              <w:jc w:val="left"/>
            </w:pPr>
            <w:r>
              <w:rPr>
                <w:rFonts w:ascii="Calibri" w:hAnsi="Calibri" w:eastAsia="Calibri"/>
                <w:b/>
                <w:i w:val="0"/>
                <w:sz w:val="20"/>
              </w:rPr>
              <w:t>Enlace de la grabación</w:t>
            </w:r>
          </w:p>
        </w:tc>
        <w:tc>
          <w:tcPr>
            <w:tcW w:type="dxa" w:w="6746"/>
          </w:tcPr>
          <w:p>
            <w:pPr>
              <w:spacing w:line="240" w:lineRule="auto" w:before="40" w:after="40"/>
              <w:jc w:val="left"/>
            </w:pPr>
            <w:r>
              <w:rPr>
                <w:rFonts w:ascii="Calibri" w:hAnsi="Calibri" w:eastAsia="Calibri"/>
                <w:b/>
                <w:i w:val="0"/>
                <w:color w:val="C00000"/>
                <w:sz w:val="20"/>
              </w:rPr>
              <w:t>[Insertar aquí el enlace de la grabación]</w:t>
            </w:r>
          </w:p>
        </w:tc>
      </w:tr>
    </w:tbl>
    <w:p>
      <w:pPr>
        <w:spacing w:after="0"/>
      </w:pPr>
    </w:p>
    <w:p>
      <w:pPr>
        <w:keepNext/>
        <w:spacing w:before="220" w:after="120"/>
        <w:jc w:val="left"/>
      </w:pPr>
      <w:r>
        <w:rPr>
          <w:rFonts w:ascii="Calibri" w:hAnsi="Calibri" w:eastAsia="Calibri"/>
          <w:b/>
          <w:i w:val="0"/>
          <w:color w:val="1F3150"/>
          <w:sz w:val="26"/>
        </w:rPr>
        <w:t>2. Introducción y definición de los constructos</w:t>
      </w:r>
    </w:p>
    <w:p>
      <w:pPr>
        <w:spacing w:after="120"/>
        <w:jc w:val="both"/>
      </w:pPr>
      <w:r>
        <w:rPr>
          <w:rFonts w:ascii="Calibri" w:hAnsi="Calibri" w:eastAsia="Calibri"/>
          <w:b w:val="0"/>
          <w:i w:val="0"/>
          <w:sz w:val="22"/>
        </w:rPr>
        <w:t>Este informe documenta la segunda discusión integradora del Grupo 3, correspondiente al Módulo 2 de la asignatura Liderando Equipos Integradores. Si el módulo anterior se ocupó de cómo se conduce un equipo, este desplaza la atención hacia aquello que lo sostiene: el vínculo entre quienes lo componen. El acta recoge los principales puntos de esa conversación.</w:t>
      </w:r>
    </w:p>
    <w:p>
      <w:pPr>
        <w:spacing w:after="120"/>
        <w:jc w:val="both"/>
      </w:pPr>
      <w:r>
        <w:rPr>
          <w:rFonts w:ascii="Calibri" w:hAnsi="Calibri" w:eastAsia="Calibri"/>
          <w:b w:val="0"/>
          <w:i w:val="0"/>
          <w:sz w:val="22"/>
        </w:rPr>
        <w:t xml:space="preserve">Los constructos provienen del capítulo 6, “Building Relationships in Groups”, de Keyton y Beck (2023). El primero es la </w:t>
      </w:r>
      <w:r>
        <w:rPr>
          <w:rFonts w:ascii="Calibri" w:hAnsi="Calibri" w:eastAsia="Calibri"/>
          <w:b/>
          <w:i w:val="0"/>
          <w:sz w:val="22"/>
        </w:rPr>
        <w:t>dimensión relacional de la comunicación</w:t>
      </w:r>
      <w:r>
        <w:rPr>
          <w:rFonts w:ascii="Calibri" w:hAnsi="Calibri" w:eastAsia="Calibri"/>
          <w:b w:val="0"/>
          <w:i w:val="0"/>
          <w:sz w:val="22"/>
        </w:rPr>
        <w:t xml:space="preserve">: toda interacción en un grupo transmite simultáneamente contenido de tarea e información sobre el vínculo, y esta segunda capa condiciona la primera. De ahí se desprende el </w:t>
      </w:r>
      <w:r>
        <w:rPr>
          <w:rFonts w:ascii="Calibri" w:hAnsi="Calibri" w:eastAsia="Calibri"/>
          <w:b/>
          <w:i w:val="0"/>
          <w:sz w:val="22"/>
        </w:rPr>
        <w:t>clima de comunicación</w:t>
      </w:r>
      <w:r>
        <w:rPr>
          <w:rFonts w:ascii="Calibri" w:hAnsi="Calibri" w:eastAsia="Calibri"/>
          <w:b w:val="0"/>
          <w:i w:val="0"/>
          <w:sz w:val="22"/>
        </w:rPr>
        <w:t>, es decir, el grado en que los integrantes perciben el entorno como de apoyo —donde se puede preguntar, discrepar y equivocarse— o como defensivo, donde cada intervención supone un riesgo.</w:t>
      </w:r>
    </w:p>
    <w:p>
      <w:pPr>
        <w:spacing w:after="120"/>
        <w:jc w:val="both"/>
      </w:pPr>
      <w:r>
        <w:rPr>
          <w:rFonts w:ascii="Calibri" w:hAnsi="Calibri" w:eastAsia="Calibri"/>
          <w:b w:val="0"/>
          <w:i w:val="0"/>
          <w:sz w:val="22"/>
        </w:rPr>
        <w:t xml:space="preserve">El tercer constructo es la </w:t>
      </w:r>
      <w:r>
        <w:rPr>
          <w:rFonts w:ascii="Calibri" w:hAnsi="Calibri" w:eastAsia="Calibri"/>
          <w:b/>
          <w:i w:val="0"/>
          <w:sz w:val="22"/>
        </w:rPr>
        <w:t>cohesión</w:t>
      </w:r>
      <w:r>
        <w:rPr>
          <w:rFonts w:ascii="Calibri" w:hAnsi="Calibri" w:eastAsia="Calibri"/>
          <w:b w:val="0"/>
          <w:i w:val="0"/>
          <w:sz w:val="22"/>
        </w:rPr>
        <w:t xml:space="preserve">, la fuerza que mantiene unido al grupo, que los autores distinguen en cohesión de tarea, referida al compromiso con el objetivo común, y cohesión social, relativa al atractivo del vínculo entre las personas. A ella se suman la </w:t>
      </w:r>
      <w:r>
        <w:rPr>
          <w:rFonts w:ascii="Calibri" w:hAnsi="Calibri" w:eastAsia="Calibri"/>
          <w:b/>
          <w:i w:val="0"/>
          <w:sz w:val="22"/>
        </w:rPr>
        <w:t>confianza</w:t>
      </w:r>
      <w:r>
        <w:rPr>
          <w:rFonts w:ascii="Calibri" w:hAnsi="Calibri" w:eastAsia="Calibri"/>
          <w:b w:val="0"/>
          <w:i w:val="0"/>
          <w:sz w:val="22"/>
        </w:rPr>
        <w:t xml:space="preserve">, entendida como la disposición a quedar expuesto ante otro esperando que no se aproveche de esa exposición; la </w:t>
      </w:r>
      <w:r>
        <w:rPr>
          <w:rFonts w:ascii="Calibri" w:hAnsi="Calibri" w:eastAsia="Calibri"/>
          <w:b/>
          <w:i w:val="0"/>
          <w:sz w:val="22"/>
        </w:rPr>
        <w:t>satisfacción grupal</w:t>
      </w:r>
      <w:r>
        <w:rPr>
          <w:rFonts w:ascii="Calibri" w:hAnsi="Calibri" w:eastAsia="Calibri"/>
          <w:b w:val="0"/>
          <w:i w:val="0"/>
          <w:sz w:val="22"/>
        </w:rPr>
        <w:t xml:space="preserve">, que resulta tanto del logro como de la calidad del trato; y la </w:t>
      </w:r>
      <w:r>
        <w:rPr>
          <w:rFonts w:ascii="Calibri" w:hAnsi="Calibri" w:eastAsia="Calibri"/>
          <w:b/>
          <w:i w:val="0"/>
          <w:sz w:val="22"/>
        </w:rPr>
        <w:t>socialización de nuevos miembros</w:t>
      </w:r>
      <w:r>
        <w:rPr>
          <w:rFonts w:ascii="Calibri" w:hAnsi="Calibri" w:eastAsia="Calibri"/>
          <w:b w:val="0"/>
          <w:i w:val="0"/>
          <w:sz w:val="22"/>
        </w:rPr>
        <w:t>, proceso por el cual quien llega adquiere las normas del grupo sin que este pierda su identidad.</w:t>
      </w:r>
    </w:p>
    <w:p>
      <w:pPr>
        <w:spacing w:after="120"/>
        <w:jc w:val="both"/>
      </w:pPr>
      <w:r>
        <w:rPr>
          <w:rFonts w:ascii="Calibri" w:hAnsi="Calibri" w:eastAsia="Calibri"/>
          <w:b w:val="0"/>
          <w:i w:val="0"/>
          <w:sz w:val="22"/>
        </w:rPr>
        <w:t xml:space="preserve">Los artículos del módulo incorporan cuatro constructos adicionales. El </w:t>
      </w:r>
      <w:r>
        <w:rPr>
          <w:rFonts w:ascii="Calibri" w:hAnsi="Calibri" w:eastAsia="Calibri"/>
          <w:b/>
          <w:i w:val="0"/>
          <w:sz w:val="22"/>
        </w:rPr>
        <w:t>compromiso</w:t>
      </w:r>
      <w:r>
        <w:rPr>
          <w:rFonts w:ascii="Calibri" w:hAnsi="Calibri" w:eastAsia="Calibri"/>
          <w:b w:val="0"/>
          <w:i w:val="0"/>
          <w:sz w:val="22"/>
        </w:rPr>
        <w:t xml:space="preserve"> aparece diferenciado en dos focos: el compromiso con el equipo y el compromiso con el proyecto. El </w:t>
      </w:r>
      <w:r>
        <w:rPr>
          <w:rFonts w:ascii="Calibri" w:hAnsi="Calibri" w:eastAsia="Calibri"/>
          <w:b/>
          <w:i w:val="0"/>
          <w:sz w:val="22"/>
        </w:rPr>
        <w:t>intercambio de conocimiento</w:t>
      </w:r>
      <w:r>
        <w:rPr>
          <w:rFonts w:ascii="Calibri" w:hAnsi="Calibri" w:eastAsia="Calibri"/>
          <w:b w:val="0"/>
          <w:i w:val="0"/>
          <w:sz w:val="22"/>
        </w:rPr>
        <w:t xml:space="preserve"> designa la circulación efectiva de información relevante entre los integrantes. La </w:t>
      </w:r>
      <w:r>
        <w:rPr>
          <w:rFonts w:ascii="Calibri" w:hAnsi="Calibri" w:eastAsia="Calibri"/>
          <w:b/>
          <w:i w:val="0"/>
          <w:sz w:val="22"/>
        </w:rPr>
        <w:t>identificación con el equipo</w:t>
      </w:r>
      <w:r>
        <w:rPr>
          <w:rFonts w:ascii="Calibri" w:hAnsi="Calibri" w:eastAsia="Calibri"/>
          <w:b w:val="0"/>
          <w:i w:val="0"/>
          <w:sz w:val="22"/>
        </w:rPr>
        <w:t xml:space="preserve">, derivada de la teoría de la identidad social, alude al grado en que la persona define parte de sí misma por su pertenencia al grupo. Por último, el </w:t>
      </w:r>
      <w:r>
        <w:rPr>
          <w:rFonts w:ascii="Calibri" w:hAnsi="Calibri" w:eastAsia="Calibri"/>
          <w:b/>
          <w:i w:val="0"/>
          <w:sz w:val="22"/>
        </w:rPr>
        <w:t>engagement</w:t>
      </w:r>
      <w:r>
        <w:rPr>
          <w:rFonts w:ascii="Calibri" w:hAnsi="Calibri" w:eastAsia="Calibri"/>
          <w:b w:val="0"/>
          <w:i w:val="0"/>
          <w:sz w:val="22"/>
        </w:rPr>
        <w:t xml:space="preserve"> y la </w:t>
      </w:r>
      <w:r>
        <w:rPr>
          <w:rFonts w:ascii="Calibri" w:hAnsi="Calibri" w:eastAsia="Calibri"/>
          <w:b/>
          <w:i w:val="0"/>
          <w:sz w:val="22"/>
        </w:rPr>
        <w:t>conducta cívica organizacional</w:t>
      </w:r>
      <w:r>
        <w:rPr>
          <w:rFonts w:ascii="Calibri" w:hAnsi="Calibri" w:eastAsia="Calibri"/>
          <w:b w:val="0"/>
          <w:i w:val="0"/>
          <w:sz w:val="22"/>
        </w:rPr>
        <w:t xml:space="preserve"> describen, respectivamente, la implicación del individuo con su trabajo y aquellos aportes voluntarios que exceden lo exigido formalmente.</w:t>
      </w:r>
    </w:p>
    <w:p>
      <w:pPr>
        <w:keepNext/>
        <w:spacing w:before="220" w:after="120"/>
        <w:jc w:val="left"/>
      </w:pPr>
      <w:r>
        <w:rPr>
          <w:rFonts w:ascii="Calibri" w:hAnsi="Calibri" w:eastAsia="Calibri"/>
          <w:b/>
          <w:i w:val="0"/>
          <w:color w:val="1F3150"/>
          <w:sz w:val="26"/>
        </w:rPr>
        <w:t>3. Síntesis de las lecturas y los artículos de investigación</w:t>
      </w:r>
    </w:p>
    <w:p>
      <w:pPr>
        <w:spacing w:after="120"/>
        <w:jc w:val="both"/>
      </w:pPr>
      <w:r>
        <w:rPr>
          <w:rFonts w:ascii="Calibri" w:hAnsi="Calibri" w:eastAsia="Calibri"/>
          <w:b/>
          <w:i w:val="0"/>
          <w:sz w:val="22"/>
        </w:rPr>
        <w:t>Keyton y Beck (2023), capítulo 6: “Building Relationships in Groups”.</w:t>
      </w:r>
      <w:r>
        <w:rPr>
          <w:rFonts w:ascii="Calibri" w:hAnsi="Calibri" w:eastAsia="Calibri"/>
          <w:b w:val="0"/>
          <w:i w:val="0"/>
          <w:sz w:val="22"/>
        </w:rPr>
        <w:t xml:space="preserve"> Su propósito es mostrar que la efectividad de un grupo no depende solo de cómo organiza la tarea, sino de la calidad de las relaciones que construye mientras la ejecuta. Es un capítulo teórico de síntesis que integra investigación en comunicación grupal y la acompaña de casos aplicados. Sus planteamientos centrales son que el clima de comunicación se construye interacción a interacción y no por declaración; que la cohesión de tarea y la social no siempre avanzan juntas; que la confianza es un antecedente del desempeño y no su consecuencia; y que la llegada de un nuevo integrante obliga al grupo a renegociar sus normas.</w:t>
      </w:r>
    </w:p>
    <w:p>
      <w:pPr>
        <w:spacing w:after="120"/>
        <w:jc w:val="both"/>
      </w:pPr>
      <w:r>
        <w:rPr>
          <w:rFonts w:ascii="Calibri" w:hAnsi="Calibri" w:eastAsia="Calibri"/>
          <w:b/>
          <w:i w:val="0"/>
          <w:sz w:val="22"/>
        </w:rPr>
        <w:t>Buvik y Tvedt (2017).</w:t>
      </w:r>
      <w:r>
        <w:rPr>
          <w:rFonts w:ascii="Calibri" w:hAnsi="Calibri" w:eastAsia="Calibri"/>
          <w:b w:val="0"/>
          <w:i w:val="0"/>
          <w:sz w:val="22"/>
        </w:rPr>
        <w:t xml:space="preserve"> El objetivo fue precisar cómo se relacionan confianza, compromiso e intercambio de conocimiento en equipos de proyecto, distinguiendo dos focos de compromiso. El diseño corresponde a un estudio de encuesta aplicado a 179 integrantes de 31 equipos de proyectos de construcción en Noruega, analizado mediante modelamiento de ecuaciones estructurales. Los resultados indican que la confianza influye en el intercambio de conocimiento de manera directa e indirecta, y que ambos focos de compromiso operan de modo distinto: en el contexto de un equipo de proyecto, el compromiso con el proyecto resulta más determinante para que el conocimiento circule que el compromiso con el equipo.</w:t>
      </w:r>
    </w:p>
    <w:p>
      <w:pPr>
        <w:spacing w:after="120"/>
        <w:jc w:val="both"/>
      </w:pPr>
      <w:r>
        <w:rPr>
          <w:rFonts w:ascii="Calibri" w:hAnsi="Calibri" w:eastAsia="Calibri"/>
          <w:b/>
          <w:i w:val="0"/>
          <w:sz w:val="22"/>
        </w:rPr>
        <w:t>Liao, Pham, Cheng y Teng (2020).</w:t>
      </w:r>
      <w:r>
        <w:rPr>
          <w:rFonts w:ascii="Calibri" w:hAnsi="Calibri" w:eastAsia="Calibri"/>
          <w:b w:val="0"/>
          <w:i w:val="0"/>
          <w:sz w:val="22"/>
        </w:rPr>
        <w:t xml:space="preserve"> El propósito fue explicar, desde la teoría de la identidad social, cómo la participación en un equipo genera compromiso con él. El diseño es un estudio de encuesta transversal aplicado a jugadores que operan en equipos dentro de un videojuego en línea, analizado mediante ecuaciones estructurales. Los hallazgos muestran dos rutas distintas: el conocimiento sobre el trabajo en equipo fortalece el cumplimiento de las normas, mientras que la experiencia acumulada de participación fortalece la identificación con el equipo; ambas contribuyen al compromiso. El contexto es inusual, pero el mecanismo es transferible: se pertenece a aquello en lo que se ha participado.</w:t>
      </w:r>
    </w:p>
    <w:p>
      <w:pPr>
        <w:spacing w:after="120"/>
        <w:jc w:val="both"/>
      </w:pPr>
      <w:r>
        <w:rPr>
          <w:rFonts w:ascii="Calibri" w:hAnsi="Calibri" w:eastAsia="Calibri"/>
          <w:b/>
          <w:i w:val="0"/>
          <w:sz w:val="22"/>
        </w:rPr>
        <w:t>Uddin, Mahmood y Fan (2019).</w:t>
      </w:r>
      <w:r>
        <w:rPr>
          <w:rFonts w:ascii="Calibri" w:hAnsi="Calibri" w:eastAsia="Calibri"/>
          <w:b w:val="0"/>
          <w:i w:val="0"/>
          <w:sz w:val="22"/>
        </w:rPr>
        <w:t xml:space="preserve"> El estudio busca determinar por qué el engagement individual importa para el desempeño colectivo. Su diseño es un estudio cuantitativo de encuesta con análisis de mediación, que evalúa si el compromiso del empleado y la conducta cívica organizacional explican el vínculo entre engagement y desempeño del equipo. Los resultados confirman que un mayor engagement individual mejora el desempeño del equipo y que ese efecto opera a través de ambos mediadores: la implicación personal se traduce en resultados colectivos cuando deriva en compromiso y en aportes voluntarios hacia los demás.</w:t>
      </w:r>
    </w:p>
    <w:p>
      <w:pPr>
        <w:keepNext/>
        <w:spacing w:before="220" w:after="120"/>
        <w:jc w:val="left"/>
      </w:pPr>
      <w:r>
        <w:rPr>
          <w:rFonts w:ascii="Calibri" w:hAnsi="Calibri" w:eastAsia="Calibri"/>
          <w:b/>
          <w:i w:val="0"/>
          <w:color w:val="1F3150"/>
          <w:sz w:val="26"/>
        </w:rPr>
        <w:t>4. Conexiones con los constructos del Módulo 1</w:t>
      </w:r>
    </w:p>
    <w:p>
      <w:pPr>
        <w:spacing w:after="120"/>
        <w:jc w:val="both"/>
      </w:pPr>
      <w:r>
        <w:rPr>
          <w:rFonts w:ascii="Calibri" w:hAnsi="Calibri" w:eastAsia="Calibri"/>
          <w:b w:val="0"/>
          <w:i w:val="0"/>
          <w:sz w:val="22"/>
        </w:rPr>
        <w:t>La discusión permitió advertir que los dos módulos describen capas sucesivas de un mismo fenómeno. En el Módulo 1 el equipo trabajó el liderazgo compartido, las competencias procedimental, técnica y relacional, y la seguridad psicológica. Al revisar el capítulo 6, resultó evidente que la competencia relacional y la seguridad psicológica no eran temas paralelos al liderazgo, sino la condición que vuelve posible el clima de comunicación de apoyo que describen Keyton y Beck (2023).</w:t>
      </w:r>
    </w:p>
    <w:p>
      <w:pPr>
        <w:spacing w:after="120"/>
        <w:jc w:val="both"/>
      </w:pPr>
      <w:r>
        <w:rPr>
          <w:rFonts w:ascii="Calibri" w:hAnsi="Calibri" w:eastAsia="Calibri"/>
          <w:b w:val="0"/>
          <w:i w:val="0"/>
          <w:sz w:val="22"/>
        </w:rPr>
        <w:t>La continuidad es igualmente clara en la evidencia. El ambiente interno del equipo —propósito compartido, apoyo social y voz— que el Módulo 1 identificó como antecedente del liderazgo compartido es, en el vocabulario de este módulo, un clima de comunicación de apoyo. Y la seguridad psicológica, que en el módulo anterior explicaba la disposición a admitir errores, reaparece aquí como la confianza que Buvik y Tvedt (2017) sitúan en el origen del intercambio de conocimiento. El equipo concluyó que el liderazgo compartido del Módulo 1 es inviable sin el sustrato relacional del Módulo 2: nadie asume un rol de conducción en un grupo donde teme quedar expuesto. Los tres acuerdos comprometidos en el módulo anterior funcionaron, en los hechos, como el puente entre ambas capas, porque una agenda previa, una facilitación rotativa y una ronda de cierre no solo ordenan la tarea: también distribuyen la palabra y, con ello, construyen el clima que este módulo analiza.</w:t>
      </w:r>
    </w:p>
    <w:p>
      <w:pPr>
        <w:keepNext/>
        <w:spacing w:before="220" w:after="120"/>
        <w:jc w:val="left"/>
      </w:pPr>
      <w:r>
        <w:rPr>
          <w:rFonts w:ascii="Calibri" w:hAnsi="Calibri" w:eastAsia="Calibri"/>
          <w:b/>
          <w:i w:val="0"/>
          <w:color w:val="1F3150"/>
          <w:sz w:val="26"/>
        </w:rPr>
        <w:t>5. Los hechos: qué ocurrió dentro del equipo</w:t>
      </w:r>
    </w:p>
    <w:p>
      <w:pPr>
        <w:spacing w:after="120"/>
        <w:jc w:val="both"/>
      </w:pPr>
      <w:r>
        <w:rPr>
          <w:rFonts w:ascii="Calibri" w:hAnsi="Calibri" w:eastAsia="Calibri"/>
          <w:b/>
          <w:i w:val="0"/>
          <w:sz w:val="22"/>
        </w:rPr>
        <w:t>Hecho 1. Puesta a prueba de los acuerdos del Módulo 1.</w:t>
      </w:r>
      <w:r>
        <w:rPr>
          <w:rFonts w:ascii="Calibri" w:hAnsi="Calibri" w:eastAsia="Calibri"/>
          <w:b w:val="0"/>
          <w:i w:val="0"/>
          <w:sz w:val="22"/>
        </w:rPr>
        <w:t xml:space="preserve"> Durante las semanas previas el equipo aplicó los tres compromisos asumidos en la sesión anterior. La agenda enviada con anticipación y la ronda de cierre se cumplieron sin excepción y se instalaron con naturalidad. La rotación de la facilitación también se respetó: esta sesión fue conducida por Cristóbal Flores, quien en el módulo anterior había sido el integrante que planteó el desacuerdo. Varios comentaron que verlo facilitar produjo un efecto difícil de anticipar, porque confirmó que plantear un problema no tenía costo dentro del grupo.</w:t>
      </w:r>
    </w:p>
    <w:p>
      <w:pPr>
        <w:spacing w:after="120"/>
        <w:jc w:val="both"/>
      </w:pPr>
      <w:r>
        <w:rPr>
          <w:rFonts w:ascii="Calibri" w:hAnsi="Calibri" w:eastAsia="Calibri"/>
          <w:b/>
          <w:i w:val="0"/>
          <w:sz w:val="22"/>
        </w:rPr>
        <w:t>Hecho 2. Desarrollo de la segunda sesión integradora.</w:t>
      </w:r>
      <w:r>
        <w:rPr>
          <w:rFonts w:ascii="Calibri" w:hAnsi="Calibri" w:eastAsia="Calibri"/>
          <w:b w:val="0"/>
          <w:i w:val="0"/>
          <w:sz w:val="22"/>
        </w:rPr>
        <w:t xml:space="preserve"> La discusión se realizó por videoconferencia y se extendió por ochenta minutos, con asistencia completa. Cristopher Arredondo llevó el registro del acta. Tras la presentación de los constructos del capítulo 6, la conversación se organizó en torno a una pregunta planteada por el facilitador: si el equipo confiaba lo suficiente como para admitir que no entendía algo. La pregunta abrió el tramo más productivo de la sesión.</w:t>
      </w:r>
    </w:p>
    <w:p>
      <w:pPr>
        <w:spacing w:after="120"/>
        <w:jc w:val="both"/>
      </w:pPr>
      <w:r>
        <w:rPr>
          <w:rFonts w:ascii="Calibri" w:hAnsi="Calibri" w:eastAsia="Calibri"/>
          <w:b/>
          <w:i w:val="0"/>
          <w:sz w:val="22"/>
        </w:rPr>
        <w:t>Hecho 3. Un episodio de intercambio de conocimiento fallido.</w:t>
      </w:r>
      <w:r>
        <w:rPr>
          <w:rFonts w:ascii="Calibri" w:hAnsi="Calibri" w:eastAsia="Calibri"/>
          <w:b w:val="0"/>
          <w:i w:val="0"/>
          <w:sz w:val="22"/>
        </w:rPr>
        <w:t xml:space="preserve"> Francisco Morales relató que durante la semana había trabajado casi dos horas sobre una versión desactualizada del documento, porque el archivo corregido se había compartido por un canal distinto al habitual. Reconoció, además, haber notado la inconsistencia antes y no haber preguntado por parecerle un detalle menor. El grupo no lo trató como un descuido individual: identificó que el problema era la ausencia de un repositorio único y que la duda no se planteó porque preguntar seguía percibiéndose como una molestia para los demás.</w:t>
      </w:r>
    </w:p>
    <w:p>
      <w:pPr>
        <w:spacing w:after="120"/>
        <w:jc w:val="both"/>
      </w:pPr>
      <w:r>
        <w:rPr>
          <w:rFonts w:ascii="Calibri" w:hAnsi="Calibri" w:eastAsia="Calibri"/>
          <w:b/>
          <w:i w:val="0"/>
          <w:sz w:val="22"/>
        </w:rPr>
        <w:t>Hecho 4. Resultados y acuerdos de la sesión.</w:t>
      </w:r>
      <w:r>
        <w:rPr>
          <w:rFonts w:ascii="Calibri" w:hAnsi="Calibri" w:eastAsia="Calibri"/>
          <w:b w:val="0"/>
          <w:i w:val="0"/>
          <w:sz w:val="22"/>
        </w:rPr>
        <w:t xml:space="preserve"> El equipo adoptó tres acuerdos adicionales: centralizar el trabajo en un único repositorio con control de versiones, incorporar al inicio de cada reunión un espacio breve para dudas pendientes, y explicitar al comienzo de cada entrega el objetivo del trabajo y no solo el reparto de tareas. La sesión terminó con una percepción compartida de avance: a diferencia del Módulo 1, donde el clima mejoró tras resolver un conflicto, en esta ocasión el buen clima fue el punto de partida.</w:t>
      </w:r>
    </w:p>
    <w:p>
      <w:pPr>
        <w:keepNext/>
        <w:spacing w:before="220" w:after="120"/>
        <w:jc w:val="left"/>
      </w:pPr>
      <w:r>
        <w:rPr>
          <w:rFonts w:ascii="Calibri" w:hAnsi="Calibri" w:eastAsia="Calibri"/>
          <w:b/>
          <w:i w:val="0"/>
          <w:color w:val="1F3150"/>
          <w:sz w:val="26"/>
        </w:rPr>
        <w:t>6. Comparaciones: semejanzas y diferencias con la literatura</w:t>
      </w:r>
    </w:p>
    <w:p>
      <w:pPr>
        <w:spacing w:after="120"/>
        <w:jc w:val="both"/>
      </w:pPr>
      <w:r>
        <w:rPr>
          <w:rFonts w:ascii="Calibri" w:hAnsi="Calibri" w:eastAsia="Calibri"/>
          <w:b w:val="0"/>
          <w:i w:val="0"/>
          <w:sz w:val="22"/>
        </w:rPr>
        <w:t>Se contrastan a continuación tres experiencias relatadas en las lecturas y los artículos con las vivencias del equipo, indicando tres semejanzas o diferencias en cada caso.</w:t>
      </w:r>
    </w:p>
    <w:p>
      <w:pPr>
        <w:keepNext/>
        <w:spacing w:before="180" w:after="80"/>
        <w:jc w:val="left"/>
      </w:pPr>
      <w:r>
        <w:rPr>
          <w:rFonts w:ascii="Calibri" w:hAnsi="Calibri" w:eastAsia="Calibri"/>
          <w:b/>
          <w:i w:val="0"/>
          <w:color w:val="1F3150"/>
          <w:sz w:val="23"/>
        </w:rPr>
        <w:t>6.1. Confianza, compromiso e intercambio de conocimiento (Buvik y Tvedt, 2017)</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estudio sostiene que la confianza influye en el intercambio de conocimiento no solo de forma directa, sino a través del compromiso. El episodio del documento desactualizado lo ilustra: la información existía y era accesible, pero no circuló porque faltó la disposición a preguntar.</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encuentran que el compromiso con el proyecto pesa más que el compromiso con el equipo para que el conocimiento circule. El equipo llegó a la misma conclusión por otra vía: la relación entre los cinco era buena y, aun así, el conocimiento no fluyó, porque nadie tenía claro el objetivo de la entrega más allá de su propia tarea.</w:t>
      </w:r>
    </w:p>
    <w:p>
      <w:pPr>
        <w:spacing w:after="120"/>
        <w:jc w:val="both"/>
      </w:pPr>
      <w:r>
        <w:rPr>
          <w:rFonts w:ascii="Calibri" w:hAnsi="Calibri" w:eastAsia="Calibri"/>
          <w:b/>
          <w:i w:val="0"/>
          <w:sz w:val="22"/>
        </w:rPr>
        <w:t>Diferencia 1.</w:t>
      </w:r>
      <w:r>
        <w:rPr>
          <w:rFonts w:ascii="Calibri" w:hAnsi="Calibri" w:eastAsia="Calibri"/>
          <w:b w:val="0"/>
          <w:i w:val="0"/>
          <w:sz w:val="22"/>
        </w:rPr>
        <w:t xml:space="preserve"> La muestra corresponde a equipos de construcción profesionales, con proyectos extensos y roles estables. El Grupo 3 trabaja en ciclos de pocas semanas y sin jerarquía, por lo que no alcanza a desarrollar el compromiso organizacional que el estudio asume como dado: la confianza debe construirse en mucho menos tiempo.</w:t>
      </w:r>
    </w:p>
    <w:p>
      <w:pPr>
        <w:keepNext/>
        <w:spacing w:before="180" w:after="80"/>
        <w:jc w:val="left"/>
      </w:pPr>
      <w:r>
        <w:rPr>
          <w:rFonts w:ascii="Calibri" w:hAnsi="Calibri" w:eastAsia="Calibri"/>
          <w:b/>
          <w:i w:val="0"/>
          <w:color w:val="1F3150"/>
          <w:sz w:val="23"/>
        </w:rPr>
        <w:t>6.2. Participación, identificación y compromiso (Liao, Pham, Cheng y Teng, 2020)</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estudio identifica la experiencia acumulada de participación como la vía hacia la identificación con el equipo. La rotación de la facilitación operó así: quienes condujeron una sesión comenzaron a hablar del trabajo en primera persona del plural, y antes se referían a él como una obligación de la asignatura.</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señalan que el conocimiento sobre el funcionamiento del equipo fortalece el cumplimiento de las normas. El equipo observó que los tres acuerdos del Módulo 1 se respetaron sin supervisión, a diferencia de las reglas implícitas de la primera semana, que nadie había formulado.</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el estudio, la participación es voluntaria y sostenida por el interés del jugador. En el Grupo 3 la pertenencia es asignada y tiene fecha de término, de modo que la identificación no puede apoyarse en la permanencia. El equipo concluyó que debe producirla deliberadamente, no esperar que se acumule.</w:t>
      </w:r>
    </w:p>
    <w:p>
      <w:pPr>
        <w:keepNext/>
        <w:spacing w:before="180" w:after="80"/>
        <w:jc w:val="left"/>
      </w:pPr>
      <w:r>
        <w:rPr>
          <w:rFonts w:ascii="Calibri" w:hAnsi="Calibri" w:eastAsia="Calibri"/>
          <w:b/>
          <w:i w:val="0"/>
          <w:color w:val="1F3150"/>
          <w:sz w:val="23"/>
        </w:rPr>
        <w:t>6.3. Engagement, conducta cívica y clima de comunicación (Uddin, Mahmood y Fan, 2019; Keyton y Beck, 2023)</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estudio establece que el engagement individual mejora el desempeño colectivo a través de la conducta cívica, es decir, de los aportes que nadie exige. El equipo reconoció varios: revisar el trabajo ajeno sin que se pidiera o reordenar un documento para que el resto lo entendiera.</w:t>
      </w:r>
    </w:p>
    <w:p>
      <w:pPr>
        <w:spacing w:after="120"/>
        <w:jc w:val="both"/>
      </w:pPr>
      <w:r>
        <w:rPr>
          <w:rFonts w:ascii="Calibri" w:hAnsi="Calibri" w:eastAsia="Calibri"/>
          <w:b/>
          <w:i w:val="0"/>
          <w:sz w:val="22"/>
        </w:rPr>
        <w:t>Semejanza 2.</w:t>
      </w:r>
      <w:r>
        <w:rPr>
          <w:rFonts w:ascii="Calibri" w:hAnsi="Calibri" w:eastAsia="Calibri"/>
          <w:b w:val="0"/>
          <w:i w:val="0"/>
          <w:sz w:val="22"/>
        </w:rPr>
        <w:t xml:space="preserve"> Keyton y Beck describen el clima de apoyo como aquel en que preguntar no supone un riesgo. La pregunta del facilitador sobre si el equipo confiaba lo suficiente para admitir no entender algo produjo un efecto inmediato: tres integrantes reconocieron dudas sobre las lecturas que hasta entonces habían preferido resolver por su cuenta.</w:t>
      </w:r>
    </w:p>
    <w:p>
      <w:pPr>
        <w:spacing w:after="120"/>
        <w:jc w:val="both"/>
      </w:pPr>
      <w:r>
        <w:rPr>
          <w:rFonts w:ascii="Calibri" w:hAnsi="Calibri" w:eastAsia="Calibri"/>
          <w:b/>
          <w:i w:val="0"/>
          <w:sz w:val="22"/>
        </w:rPr>
        <w:t>Diferencia 1.</w:t>
      </w:r>
      <w:r>
        <w:rPr>
          <w:rFonts w:ascii="Calibri" w:hAnsi="Calibri" w:eastAsia="Calibri"/>
          <w:b w:val="0"/>
          <w:i w:val="0"/>
          <w:sz w:val="22"/>
        </w:rPr>
        <w:t xml:space="preserve"> Uddin y sus colegas miden la conducta cívica en organizaciones con sistemas formales de reconocimiento. El Grupo 3 carece de ellos y constató que esos aportes permanecían invisibles: ocurrían, pero nadie los nombraba. La literatura los da por observables; la experiencia mostró que, sin un mecanismo explícito, no lo son.</w:t>
      </w:r>
    </w:p>
    <w:p>
      <w:pPr>
        <w:keepNext/>
        <w:spacing w:before="220" w:after="120"/>
        <w:jc w:val="left"/>
      </w:pPr>
      <w:r>
        <w:rPr>
          <w:rFonts w:ascii="Calibri" w:hAnsi="Calibri" w:eastAsia="Calibri"/>
          <w:b/>
          <w:i w:val="0"/>
          <w:color w:val="1F3150"/>
          <w:sz w:val="26"/>
        </w:rPr>
        <w:t>7. Oportunidades de crecimiento y cambio</w:t>
      </w:r>
    </w:p>
    <w:p>
      <w:pPr>
        <w:spacing w:after="120"/>
        <w:jc w:val="both"/>
      </w:pPr>
      <w:r>
        <w:rPr>
          <w:rFonts w:ascii="Calibri" w:hAnsi="Calibri" w:eastAsia="Calibri"/>
          <w:b/>
          <w:i w:val="0"/>
          <w:sz w:val="22"/>
        </w:rPr>
        <w:t>Oportunidad 1. Un repositorio único con control de versiones.</w:t>
      </w:r>
      <w:r>
        <w:rPr>
          <w:rFonts w:ascii="Calibri" w:hAnsi="Calibri" w:eastAsia="Calibri"/>
          <w:b w:val="0"/>
          <w:i w:val="0"/>
          <w:sz w:val="22"/>
        </w:rPr>
        <w:t xml:space="preserve"> El episodio del documento desactualizado no se explica por falta de compromiso, sino por una infraestructura deficiente para que el conocimiento circule. El equipo centralizará todos los archivos en un repositorio único, con una única versión vigente y un responsable de consolidarla antes de cada entrega. La medida se aplicará de inmediato en la asignatura y es trasladable a cualquier proyecto laboral.</w:t>
      </w:r>
    </w:p>
    <w:p>
      <w:pPr>
        <w:spacing w:after="120"/>
        <w:jc w:val="both"/>
      </w:pPr>
      <w:r>
        <w:rPr>
          <w:rFonts w:ascii="Calibri" w:hAnsi="Calibri" w:eastAsia="Calibri"/>
          <w:b/>
          <w:i w:val="0"/>
          <w:sz w:val="22"/>
        </w:rPr>
        <w:t>Oportunidad 2. Explicitar el objetivo del proyecto, no solo el reparto de tareas.</w:t>
      </w:r>
      <w:r>
        <w:rPr>
          <w:rFonts w:ascii="Calibri" w:hAnsi="Calibri" w:eastAsia="Calibri"/>
          <w:b w:val="0"/>
          <w:i w:val="0"/>
          <w:sz w:val="22"/>
        </w:rPr>
        <w:t xml:space="preserve"> Si el compromiso con el proyecto resulta más determinante que el compromiso con el equipo, conviene construirlo de forma expresa. Cada entrega comenzará con una definición compartida de qué se busca lograr y por qué importa, antes de distribuir responsabilidades. Personalmente, varios integrantes reconocieron haber trabajado hasta ahora sobre su parte sin una idea clara del conjunto.</w:t>
      </w:r>
    </w:p>
    <w:p>
      <w:pPr>
        <w:spacing w:after="120"/>
        <w:jc w:val="both"/>
      </w:pPr>
      <w:r>
        <w:rPr>
          <w:rFonts w:ascii="Calibri" w:hAnsi="Calibri" w:eastAsia="Calibri"/>
          <w:b/>
          <w:i w:val="0"/>
          <w:sz w:val="22"/>
        </w:rPr>
        <w:t>Oportunidad 3. Producir identificación en lugar de esperarla.</w:t>
      </w:r>
      <w:r>
        <w:rPr>
          <w:rFonts w:ascii="Calibri" w:hAnsi="Calibri" w:eastAsia="Calibri"/>
          <w:b w:val="0"/>
          <w:i w:val="0"/>
          <w:sz w:val="22"/>
        </w:rPr>
        <w:t xml:space="preserve"> Dado que la pertenencia al equipo es temporal, la identificación debe generarse de manera intencionada. El equipo mantendrá la rotación de la facilitación y sumará una práctica: que cada integrante presente al resto la sección elaborada por otro, de modo que nadie conozca únicamente su propia parte del trabajo.</w:t>
      </w:r>
    </w:p>
    <w:p>
      <w:pPr>
        <w:spacing w:after="120"/>
        <w:jc w:val="both"/>
      </w:pPr>
      <w:r>
        <w:rPr>
          <w:rFonts w:ascii="Calibri" w:hAnsi="Calibri" w:eastAsia="Calibri"/>
          <w:b/>
          <w:i w:val="0"/>
          <w:sz w:val="22"/>
        </w:rPr>
        <w:t>Oportunidad 4. Nombrar los aportes voluntarios y prepararse para integrar a un nuevo miembro.</w:t>
      </w:r>
      <w:r>
        <w:rPr>
          <w:rFonts w:ascii="Calibri" w:hAnsi="Calibri" w:eastAsia="Calibri"/>
          <w:b w:val="0"/>
          <w:i w:val="0"/>
          <w:sz w:val="22"/>
        </w:rPr>
        <w:t xml:space="preserve"> La ronda de cierre incorporará un reconocimiento explícito de al menos una contribución ajena, para que la conducta cívica deje de ser invisible. El equipo identificó, además, un vacío en su aprendizaje: no sabe cómo integraría a un integrante nuevo a esta altura del semestre sin que se pierdan las normas construidas, y acordó profundizar en la socialización de nuevos miembros que aborda el capítulo 6, así como en los mecanismos de reconocimiento entre pares que la literatura organizacional describe. La discusión modificó el modo en que el equipo entiende su propio funcionamiento: el clima dejó de percibirse como un resultado afortunado y pasó a entenderse como algo que se produce con decisiones concretas.</w:t>
      </w:r>
    </w:p>
    <w:p>
      <w:pPr>
        <w:keepNext/>
        <w:spacing w:before="220" w:after="120"/>
        <w:jc w:val="left"/>
      </w:pPr>
      <w:r>
        <w:rPr>
          <w:rFonts w:ascii="Calibri" w:hAnsi="Calibri" w:eastAsia="Calibri"/>
          <w:b/>
          <w:i w:val="0"/>
          <w:color w:val="1F3150"/>
          <w:sz w:val="26"/>
        </w:rPr>
        <w:t>8. Conclusión</w:t>
      </w:r>
    </w:p>
    <w:p>
      <w:pPr>
        <w:spacing w:after="120"/>
        <w:jc w:val="both"/>
      </w:pPr>
      <w:r>
        <w:rPr>
          <w:rFonts w:ascii="Calibri" w:hAnsi="Calibri" w:eastAsia="Calibri"/>
          <w:b w:val="0"/>
          <w:i w:val="0"/>
          <w:sz w:val="22"/>
        </w:rPr>
        <w:t>La segunda discusión integradora mostró al Grupo 3 que las relaciones no son el marco del trabajo, sino parte de su mecanismo. El conocimiento circula o se detiene según la confianza disponible, y la confianza depende de decisiones que el equipo puede tomar. El Módulo 1 dejó al grupo con acuerdos sobre cómo conducirse; el Módulo 2 lo deja con acuerdos sobre cómo vincularse. La efectividad de estos últimos se evaluará, como los anteriores, al cierre del próximo módulo.</w:t>
      </w:r>
    </w:p>
    <w:p>
      <w:pPr>
        <w:keepNext/>
        <w:pageBreakBefore/>
        <w:spacing w:before="220" w:after="120"/>
        <w:jc w:val="left"/>
      </w:pPr>
      <w:r>
        <w:rPr>
          <w:rFonts w:ascii="Calibri" w:hAnsi="Calibri" w:eastAsia="Calibri"/>
          <w:b/>
          <w:i w:val="0"/>
          <w:color w:val="1F3150"/>
          <w:sz w:val="26"/>
        </w:rPr>
        <w:t>Referencias</w:t>
      </w:r>
    </w:p>
    <w:p>
      <w:pPr>
        <w:spacing w:after="160"/>
        <w:ind w:left="720" w:hanging="720"/>
        <w:jc w:val="left"/>
      </w:pPr>
      <w:r>
        <w:rPr>
          <w:rFonts w:ascii="Calibri" w:hAnsi="Calibri" w:eastAsia="Calibri"/>
          <w:b w:val="0"/>
          <w:i w:val="0"/>
          <w:sz w:val="22"/>
        </w:rPr>
        <w:t xml:space="preserve">Buvik, M. P., &amp; Tvedt, S. D. (2017). The influence of project commitment and team commitment on the relationship between trust and knowledge sharing in project teams. </w:t>
      </w:r>
      <w:r>
        <w:rPr>
          <w:rFonts w:ascii="Calibri" w:hAnsi="Calibri" w:eastAsia="Calibri"/>
          <w:b w:val="0"/>
          <w:i/>
          <w:sz w:val="22"/>
        </w:rPr>
        <w:t>Project Management Journal, 48</w:t>
      </w:r>
      <w:r>
        <w:rPr>
          <w:rFonts w:ascii="Calibri" w:hAnsi="Calibri" w:eastAsia="Calibri"/>
          <w:b w:val="0"/>
          <w:i w:val="0"/>
          <w:sz w:val="22"/>
        </w:rPr>
        <w:t>(2), 5–21. https://doi.org/10.1177/875697281704800202</w:t>
      </w:r>
    </w:p>
    <w:p>
      <w:pPr>
        <w:spacing w:after="160"/>
        <w:ind w:left="720" w:hanging="720"/>
        <w:jc w:val="left"/>
      </w:pPr>
      <w:r>
        <w:rPr>
          <w:rFonts w:ascii="Calibri" w:hAnsi="Calibri" w:eastAsia="Calibri"/>
          <w:b w:val="0"/>
          <w:i w:val="0"/>
          <w:sz w:val="22"/>
        </w:rPr>
        <w:t xml:space="preserve">Keyton, J., &amp; Beck, S. J. (2023). </w:t>
      </w:r>
      <w:r>
        <w:rPr>
          <w:rFonts w:ascii="Calibri" w:hAnsi="Calibri" w:eastAsia="Calibri"/>
          <w:b w:val="0"/>
          <w:i/>
          <w:sz w:val="22"/>
        </w:rPr>
        <w:t>Communicating in groups and teams: Strategic interactions</w:t>
      </w:r>
      <w:r>
        <w:rPr>
          <w:rFonts w:ascii="Calibri" w:hAnsi="Calibri" w:eastAsia="Calibri"/>
          <w:b w:val="0"/>
          <w:i w:val="0"/>
          <w:sz w:val="22"/>
        </w:rPr>
        <w:t xml:space="preserve"> (5.ª ed.). Cognella Academic Publishing.</w:t>
      </w:r>
    </w:p>
    <w:p>
      <w:pPr>
        <w:spacing w:after="160"/>
        <w:ind w:left="720" w:hanging="720"/>
        <w:jc w:val="left"/>
      </w:pPr>
      <w:r>
        <w:rPr>
          <w:rFonts w:ascii="Calibri" w:hAnsi="Calibri" w:eastAsia="Calibri"/>
          <w:b w:val="0"/>
          <w:i w:val="0"/>
          <w:sz w:val="22"/>
        </w:rPr>
        <w:t xml:space="preserve">Liao, G. Y., Pham, T. T. L., Cheng, T. C. E., &amp; Teng, C. I. (2020). How online gamers' participation fosters their team commitment: Perspective of social identity theory. </w:t>
      </w:r>
      <w:r>
        <w:rPr>
          <w:rFonts w:ascii="Calibri" w:hAnsi="Calibri" w:eastAsia="Calibri"/>
          <w:b w:val="0"/>
          <w:i/>
          <w:sz w:val="22"/>
        </w:rPr>
        <w:t>International Journal of Information Management, 52</w:t>
      </w:r>
      <w:r>
        <w:rPr>
          <w:rFonts w:ascii="Calibri" w:hAnsi="Calibri" w:eastAsia="Calibri"/>
          <w:b w:val="0"/>
          <w:i w:val="0"/>
          <w:sz w:val="22"/>
        </w:rPr>
        <w:t>, 102095. https://doi.org/10.1016/j.ijinfomgt.2020.102095</w:t>
      </w:r>
    </w:p>
    <w:p>
      <w:pPr>
        <w:spacing w:after="160"/>
        <w:ind w:left="720" w:hanging="720"/>
        <w:jc w:val="left"/>
      </w:pPr>
      <w:r>
        <w:rPr>
          <w:rFonts w:ascii="Calibri" w:hAnsi="Calibri" w:eastAsia="Calibri"/>
          <w:b w:val="0"/>
          <w:i w:val="0"/>
          <w:sz w:val="22"/>
        </w:rPr>
        <w:t xml:space="preserve">Uddin, M. A., Mahmood, M., &amp; Fan, L. (2019). Why individual employee engagement matters for team performance? Mediating effects of employee commitment and organizational citizenship behaviour. </w:t>
      </w:r>
      <w:r>
        <w:rPr>
          <w:rFonts w:ascii="Calibri" w:hAnsi="Calibri" w:eastAsia="Calibri"/>
          <w:b w:val="0"/>
          <w:i/>
          <w:sz w:val="22"/>
        </w:rPr>
        <w:t>Team Performance Management, 25</w:t>
      </w:r>
      <w:r>
        <w:rPr>
          <w:rFonts w:ascii="Calibri" w:hAnsi="Calibri" w:eastAsia="Calibri"/>
          <w:b w:val="0"/>
          <w:i w:val="0"/>
          <w:sz w:val="22"/>
        </w:rPr>
        <w:t>(1/2), 47–68. https://doi.org/10.1108/TPM-12-2017-0078</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06060"/>
        <w:sz w:val="18"/>
      </w:rPr>
      <w:t xml:space="preserve">Página </w:t>
    </w:r>
    <w:r>
      <w:rPr>
        <w:rFonts w:ascii="Calibri" w:hAnsi="Calibri" w:eastAsia="Calibri"/>
        <w:b w:val="0"/>
        <w:i w:val="0"/>
        <w:color w:val="606060"/>
        <w:sz w:val="18"/>
      </w:rPr>
      <w:fldChar w:fldCharType="begin"/>
    </w:r>
    <w:r>
      <w:rPr>
        <w:rFonts w:ascii="Calibri" w:hAnsi="Calibri" w:eastAsia="Calibri"/>
        <w:b w:val="0"/>
        <w:i w:val="0"/>
        <w:color w:val="606060"/>
        <w:sz w:val="18"/>
      </w:rPr>
      <w:instrText xml:space="preserve"> PAGE </w:instrText>
    </w:r>
    <w:r>
      <w:rPr>
        <w:rFonts w:ascii="Calibri" w:hAnsi="Calibri" w:eastAsia="Calibri"/>
        <w:b w:val="0"/>
        <w:i w:val="0"/>
        <w:color w:val="6060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408672"/>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5940000" cy="4086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