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4832"/>
      </w:tblGrid>
      <w:tr w:rsidR="0003309E" w14:paraId="68853070" w14:textId="77777777" w:rsidTr="00C5122E">
        <w:trPr/>
        <w:tc>
          <w:tcPr>
            <w:tcW w:w="14832" w:type="dxa"/>
            <w:vAlign w:val="center"/>
          </w:tcPr>
          <w:p w14:paraId="1C7FA90E" w14:textId="2183587C" w:rsidR="0003309E" w:rsidRPr="00BF2EA6" w:rsidRDefault="0003309E" w:rsidP="00C5122E">
            <w:pPr>
              <w:keepNext w:val="0"/>
              <w:rPr>
                <w:b/>
                <w:color w:val="1F3864" w:themeColor="accent1" w:themeShade="80"/>
                <w:sz w:val="28"/>
                <w:szCs w:val="28"/>
              </w:rPr>
            </w:pPr>
            <w:r>
              <w:rPr>
                <w:b/>
                <w:color w:val="000000"/>
                <w:sz w:val="28"/>
                <w:szCs w:val="28"/>
              </w:rPr>
              <w:t>1</w:t>
            </w:r>
            <w:r w:rsidRPr="00874D16">
              <w:rPr>
                <w:b/>
                <w:color w:val="000000"/>
                <w:sz w:val="28"/>
                <w:szCs w:val="28"/>
              </w:rPr>
              <w:t xml:space="preserve">. </w:t>
            </w:r>
            <w:r w:rsidR="00FD5149">
              <w:rPr>
                <w:b/>
                <w:color w:val="000000"/>
                <w:sz w:val="28"/>
                <w:szCs w:val="28"/>
              </w:rPr>
              <w:t xml:space="preserve">Resumen </w:t>
            </w:r>
            <w:r w:rsidR="006B242E">
              <w:rPr>
                <w:b/>
                <w:color w:val="000000"/>
                <w:sz w:val="28"/>
                <w:szCs w:val="28"/>
              </w:rPr>
              <w:t xml:space="preserve">avance </w:t>
            </w:r>
            <w:r>
              <w:rPr>
                <w:b/>
                <w:color w:val="000000"/>
                <w:sz w:val="28"/>
                <w:szCs w:val="28"/>
              </w:rPr>
              <w:t>Proyecto APT</w:t>
            </w:r>
          </w:p>
        </w:tc>
      </w:tr>
      <w:tr w:rsidR="0003309E" w14:paraId="104F9294" w14:textId="77777777" w:rsidTr="00C5122E">
        <w:trPr/>
        <w:tc>
          <w:tcPr>
            <w:tcW w:w="14832" w:type="dxa"/>
            <w:shd w:val="clear" w:color="auto" w:fill="D9E2F3" w:themeFill="accent1" w:themeFillTint="33"/>
            <w:vAlign w:val="center"/>
          </w:tcPr>
          <w:p w14:paraId="58A014EC" w14:textId="77777777" w:rsidR="0003309E" w:rsidRPr="00DA1615" w:rsidRDefault="0003309E" w:rsidP="00585A13">
            <w:pPr>
              <w:pStyle w:val="Piedepgina"/>
              <w:keepNext w:val="0"/>
              <w:jc w:val="both"/>
              <w:rPr>
                <w:rFonts w:ascii="Calibri" w:hAnsi="Calibri"/>
                <w:color w:val="1F3864" w:themeColor="accent1" w:themeShade="80"/>
              </w:rPr>
            </w:pPr>
            <w:r w:rsidRPr="00DA1615">
              <w:rPr>
                <w:rFonts w:ascii="Calibri" w:hAnsi="Calibri"/>
                <w:color w:val="00000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2592"/>
        <w:gridCol w:w="12240"/>
      </w:tblGrid>
      <w:tr w:rsidR="0003309E" w14:paraId="416C77F4" w14:textId="77777777" w:rsidTr="000A1331">
        <w:trPr/>
        <w:tc>
          <w:tcPr>
            <w:tcW w:w="2592" w:type="dxa"/>
            <w:vAlign w:val="center"/>
          </w:tcPr>
          <w:p w14:paraId="72F2ABB8" w14:textId="77777777" w:rsidR="0003309E" w:rsidRPr="00CA22A9" w:rsidRDefault="0003309E" w:rsidP="00585A13">
            <w:pPr>
              <w:keepNext w:val="0"/>
              <w:rPr>
                <w:rFonts w:ascii="Calibri" w:hAnsi="Calibri"/>
                <w:color w:val="1F3864" w:themeColor="accent1" w:themeShade="80"/>
              </w:rPr>
            </w:pPr>
            <w:r>
              <w:rPr>
                <w:rFonts w:ascii="Calibri" w:hAnsi="Calibri"/>
                <w:color w:val="000000"/>
              </w:rPr>
              <w:t>Resumen</w:t>
            </w:r>
            <w:r w:rsidRPr="006608A6">
              <w:rPr>
                <w:rFonts w:ascii="Calibri" w:hAnsi="Calibri"/>
                <w:color w:val="000000"/>
              </w:rPr>
              <w:t xml:space="preserve"> de</w:t>
            </w:r>
            <w:r>
              <w:rPr>
                <w:rFonts w:ascii="Calibri" w:hAnsi="Calibri"/>
                <w:color w:val="000000"/>
              </w:rPr>
              <w:t xml:space="preserve"> avance proyecto APT</w:t>
            </w:r>
          </w:p>
        </w:tc>
        <w:tc>
          <w:tcPr>
            <w:tcW w:w="12240" w:type="dxa"/>
          </w:tcPr>
          <w:p>
            <w:pPr>
              <w:spacing w:before="40" w:after="60" w:line="264" w:lineRule="auto"/>
              <w:jc w:val="left"/>
            </w:pPr>
            <w:r/>
            <w:r>
              <w:rPr>
                <w:rFonts w:ascii="Calibri" w:hAnsi="Calibri"/>
                <w:b w:val="0"/>
                <w:i w:val="0"/>
                <w:color w:val="282828"/>
                <w:sz w:val="19"/>
              </w:rPr>
              <w:t>Proyecto Cuerpo y Alma: Plataforma Web Integral de Gestión y Control de Asistencia</w:t>
            </w:r>
          </w:p>
          <w:p>
            <w:pPr>
              <w:spacing w:before="40" w:after="60" w:line="264" w:lineRule="auto"/>
              <w:jc w:val="left"/>
            </w:pPr>
            <w:r>
              <w:rPr>
                <w:rFonts w:ascii="Calibri" w:hAnsi="Calibri"/>
                <w:b w:val="0"/>
                <w:i w:val="0"/>
                <w:color w:val="282828"/>
                <w:sz w:val="19"/>
              </w:rPr>
              <w:t>El proyecto se encuentra en la Iteración 05 (cierre del Sprint 4, Semana 11), alcanzando un avance real y comprobado del 87.50 % (según Ficha de Avance 05), superando el 76.25 % comprometido en la Ficha 04 (+11.25 puntos porcentuales de variación positiva).</w:t>
            </w:r>
          </w:p>
          <w:p>
            <w:pPr>
              <w:spacing w:before="40" w:after="60" w:line="264" w:lineRule="auto"/>
              <w:jc w:val="left"/>
            </w:pPr>
            <w:r>
              <w:rPr>
                <w:rFonts w:ascii="Calibri" w:hAnsi="Calibri"/>
                <w:b w:val="0"/>
                <w:i w:val="0"/>
                <w:color w:val="282828"/>
                <w:sz w:val="19"/>
              </w:rPr>
              <w:t>La plataforma está construida sobre una arquitectura desacoplada utilizando Next.js (React App Router) en el frontend y Supabase Cloud (PostgreSQL 15, Auth y Storage) en el backend, estructurada bajo el Modelo 4+1 de Kruchten. Actualmente operan de forma integrada tres portales diferenciados por roles con seguridad RBAC:</w:t>
            </w:r>
          </w:p>
          <w:p>
            <w:pPr>
              <w:spacing w:before="40" w:after="60" w:line="264" w:lineRule="auto"/>
              <w:jc w:val="left"/>
            </w:pPr>
            <w:r>
              <w:rPr>
                <w:rFonts w:ascii="Calibri" w:hAnsi="Calibri"/>
                <w:b w:val="0"/>
                <w:i w:val="0"/>
                <w:color w:val="282828"/>
                <w:sz w:val="19"/>
              </w:rPr>
              <w:t>1. Portal de Alumna: Catálogo semanal de disciplinas, selección de horarios, motor de reservas con control de créditos de membresía y generador de Pase QR Dinámico encriptado con expiración de 300 segundos.</w:t>
            </w:r>
          </w:p>
          <w:p>
            <w:pPr>
              <w:spacing w:before="40" w:after="60" w:line="264" w:lineRule="auto"/>
              <w:jc w:val="left"/>
            </w:pPr>
            <w:r>
              <w:rPr>
                <w:rFonts w:ascii="Calibri" w:hAnsi="Calibri"/>
                <w:b w:val="0"/>
                <w:i w:val="0"/>
                <w:color w:val="282828"/>
                <w:sz w:val="19"/>
              </w:rPr>
              <w:t>2. Portal de Profesor: Consulta de clases asignadas en tiempo real, nómina de alumnas inscritas con fichas médicas de emergencia, escáner web de códigos QR mediante cámara integrada y mecanismo de contingencia manual con PIN de 4 dígitos.</w:t>
            </w:r>
          </w:p>
          <w:p>
            <w:pPr>
              <w:spacing w:before="40" w:after="60" w:line="264" w:lineRule="auto"/>
              <w:jc w:val="left"/>
            </w:pPr>
            <w:r>
              <w:rPr>
                <w:rFonts w:ascii="Calibri" w:hAnsi="Calibri"/>
                <w:b w:val="0"/>
                <w:i w:val="0"/>
                <w:color w:val="282828"/>
                <w:sz w:val="19"/>
              </w:rPr>
              <w:t>3. Portal de Administración: Creación y parametrización de horarios, salas y disciplinas, con control estricto de aforo atómico (máximo 8 barras por clase, regla RN-01), módulo de carga de comprobantes de pago y rutina transaccional de borrado seguro 'deleteClassesCascade' que garantiza integridad referencial sin bloqueos.</w:t>
            </w:r>
          </w:p>
          <w:p>
            <w:pPr>
              <w:spacing w:before="40" w:after="60" w:line="264" w:lineRule="auto"/>
              <w:jc w:val="left"/>
            </w:pPr>
            <w:r>
              <w:rPr>
                <w:rFonts w:ascii="Calibri" w:hAnsi="Calibri"/>
                <w:b w:val="0"/>
                <w:i w:val="0"/>
                <w:color w:val="282828"/>
                <w:sz w:val="19"/>
              </w:rPr>
              <w:t>Los módulos cuentan con verificación funcional en vivo sobre la versión Release v0.8.5-sprint4 (Commit: a4f8b2c), respaldados por políticas de seguridad RLS a nivel de base de datos.</w:t>
            </w:r>
          </w:p>
        </w:tc>
      </w:tr>
      <w:tr w:rsidR="0003309E" w14:paraId="054DAFFB" w14:textId="77777777" w:rsidTr="000A1331">
        <w:trPr/>
        <w:tc>
          <w:tcPr>
            <w:tcW w:w="2592" w:type="dxa"/>
            <w:vAlign w:val="center"/>
          </w:tcPr>
          <w:p w14:paraId="7942AC12" w14:textId="77777777" w:rsidR="0003309E" w:rsidRPr="00CA22A9" w:rsidRDefault="0003309E" w:rsidP="00585A13">
            <w:pPr>
              <w:keepNext w:val="0"/>
              <w:rPr>
                <w:rFonts w:ascii="Calibri" w:hAnsi="Calibri"/>
                <w:color w:val="1F3864" w:themeColor="accent1" w:themeShade="80"/>
              </w:rPr>
            </w:pPr>
            <w:r>
              <w:rPr>
                <w:rFonts w:ascii="Calibri" w:hAnsi="Calibri"/>
                <w:color w:val="000000"/>
              </w:rPr>
              <w:t>Objetivos</w:t>
            </w:r>
          </w:p>
        </w:tc>
        <w:tc>
          <w:tcPr>
            <w:tcW w:w="12240" w:type="dxa"/>
            <w:vAlign w:val="center"/>
          </w:tcPr>
          <w:p>
            <w:pPr>
              <w:spacing w:before="40" w:after="60" w:line="264" w:lineRule="auto"/>
              <w:jc w:val="left"/>
            </w:pPr>
            <w:r/>
            <w:r>
              <w:rPr>
                <w:rFonts w:ascii="Calibri" w:hAnsi="Calibri"/>
                <w:b w:val="0"/>
                <w:i w:val="0"/>
                <w:color w:val="282828"/>
                <w:sz w:val="19"/>
              </w:rPr>
              <w:t>Se mantiene el objetivo general de centralizar la gestión de alumnas, membresías, pagos, horarios, reservas de cupos y registro de asistencia para la academia 'Cuerpo y Alma'.</w:t>
            </w:r>
          </w:p>
          <w:p>
            <w:pPr>
              <w:spacing w:before="40" w:after="60" w:line="264" w:lineRule="auto"/>
              <w:jc w:val="left"/>
            </w:pPr>
            <w:r>
              <w:rPr>
                <w:rFonts w:ascii="Calibri" w:hAnsi="Calibri"/>
                <w:b w:val="0"/>
                <w:i w:val="0"/>
                <w:color w:val="282828"/>
                <w:sz w:val="19"/>
              </w:rPr>
              <w:t>Respecto de los objetivos específicos comprometidos en la Fase 1:</w:t>
            </w:r>
          </w:p>
          <w:p>
            <w:pPr>
              <w:spacing w:before="40" w:after="60" w:line="264" w:lineRule="auto"/>
              <w:jc w:val="left"/>
            </w:pPr>
            <w:r>
              <w:rPr>
                <w:rFonts w:ascii="Calibri" w:hAnsi="Calibri"/>
                <w:b w:val="0"/>
                <w:i w:val="0"/>
                <w:color w:val="282828"/>
                <w:sz w:val="19"/>
              </w:rPr>
              <w:t>1. Panel administrativo para gestión de clases y horarios: 100 % implementado y funcional con control de cupos (8 alumnas por sala) y eliminación en cascada.</w:t>
            </w:r>
          </w:p>
          <w:p>
            <w:pPr>
              <w:spacing w:before="40" w:after="60" w:line="264" w:lineRule="auto"/>
              <w:jc w:val="left"/>
            </w:pPr>
            <w:r>
              <w:rPr>
                <w:rFonts w:ascii="Calibri" w:hAnsi="Calibri"/>
                <w:b w:val="0"/>
                <w:i w:val="0"/>
                <w:color w:val="282828"/>
                <w:sz w:val="19"/>
              </w:rPr>
              <w:t>2. Panel del profesor para consulta de agenda y alumnas inscritas: 100 % implementado, responsivo y conectado a la base de datos con nómina de asistencia en tiempo real.</w:t>
            </w:r>
          </w:p>
          <w:p>
            <w:pPr>
              <w:spacing w:before="40" w:after="60" w:line="264" w:lineRule="auto"/>
              <w:jc w:val="left"/>
            </w:pPr>
            <w:r>
              <w:rPr>
                <w:rFonts w:ascii="Calibri" w:hAnsi="Calibri"/>
                <w:b w:val="0"/>
                <w:i w:val="0"/>
                <w:color w:val="282828"/>
                <w:sz w:val="19"/>
              </w:rPr>
              <w:t>3. Registro de asistencia mediante QR dinámico: 100 % implementado, incorporando token seguro no reutilizable y contingencia mediante PIN manual docente ante fallas de hardware.</w:t>
            </w:r>
          </w:p>
          <w:p>
            <w:pPr>
              <w:spacing w:before="40" w:after="60" w:line="264" w:lineRule="auto"/>
              <w:jc w:val="left"/>
            </w:pPr>
            <w:r>
              <w:rPr>
                <w:rFonts w:ascii="Calibri" w:hAnsi="Calibri"/>
                <w:b w:val="0"/>
                <w:i w:val="0"/>
                <w:color w:val="282828"/>
                <w:sz w:val="19"/>
              </w:rPr>
              <w:t>4. Módulo de planes y finanzas: 80 % implementado (tablas 'planes', 'user_suscripciones' y 'user_pagos' operativas; carga de comprobantes bancarios activa; conciliación administrativa en fase final de prueba).</w:t>
            </w:r>
          </w:p>
          <w:p>
            <w:pPr>
              <w:spacing w:before="40" w:after="60" w:line="264" w:lineRule="auto"/>
              <w:jc w:val="left"/>
            </w:pPr>
            <w:r>
              <w:rPr>
                <w:rFonts w:ascii="Calibri" w:hAnsi="Calibri"/>
                <w:b w:val="0"/>
                <w:i w:val="0"/>
                <w:color w:val="282828"/>
                <w:sz w:val="19"/>
              </w:rPr>
              <w:t>5. Métricas y dashboard de reportería: Prototipado y planificado para su cierre durante las 7 semanas restantes de la Fase 2.</w:t>
            </w:r>
          </w:p>
        </w:tc>
      </w:tr>
      <w:tr w:rsidR="0003309E" w14:paraId="2FEF1C0D" w14:textId="77777777" w:rsidTr="000A1331">
        <w:trPr/>
        <w:tc>
          <w:tcPr>
            <w:tcW w:w="2592" w:type="dxa"/>
            <w:vAlign w:val="center"/>
          </w:tcPr>
          <w:p w14:paraId="1064E097" w14:textId="77777777" w:rsidR="0003309E" w:rsidRPr="00CA22A9" w:rsidRDefault="0003309E" w:rsidP="00585A13">
            <w:pPr>
              <w:keepNext w:val="0"/>
              <w:rPr>
                <w:rFonts w:ascii="Calibri" w:hAnsi="Calibri"/>
                <w:color w:val="1F3864" w:themeColor="accent1" w:themeShade="80"/>
              </w:rPr>
            </w:pPr>
            <w:r>
              <w:rPr>
                <w:rFonts w:ascii="Calibri" w:hAnsi="Calibri"/>
                <w:color w:val="000000"/>
              </w:rPr>
              <w:t>Metodología</w:t>
            </w:r>
          </w:p>
        </w:tc>
        <w:tc>
          <w:tcPr>
            <w:tcW w:w="12240" w:type="dxa"/>
            <w:vAlign w:val="center"/>
          </w:tcPr>
          <w:p>
            <w:pPr>
              <w:spacing w:before="40" w:after="60" w:line="264" w:lineRule="auto"/>
              <w:jc w:val="left"/>
            </w:pPr>
            <w:r/>
            <w:r>
              <w:rPr>
                <w:rFonts w:ascii="Calibri" w:hAnsi="Calibri"/>
                <w:b w:val="0"/>
                <w:i w:val="0"/>
                <w:color w:val="282828"/>
                <w:sz w:val="19"/>
              </w:rPr>
              <w:t>Se mantiene y consolida la metodología ágil Scrum con un ciclo de desarrollo iterativo e incremental organizado en 4 Sprints quincenales (Semanas 1 a 11):</w:t>
            </w:r>
          </w:p>
          <w:p>
            <w:pPr>
              <w:spacing w:before="40" w:after="60" w:line="264" w:lineRule="auto"/>
              <w:jc w:val="left"/>
            </w:pPr>
            <w:r>
              <w:rPr>
                <w:rFonts w:ascii="Calibri" w:hAnsi="Calibri"/>
                <w:b w:val="0"/>
                <w:i w:val="0"/>
                <w:color w:val="282828"/>
                <w:sz w:val="19"/>
              </w:rPr>
              <w:t>- Sprint 1 (Semanas 5-6): Autenticación segura RBAC, sesiones JWT y perfiles de usuaria.</w:t>
            </w:r>
          </w:p>
          <w:p>
            <w:pPr>
              <w:spacing w:before="40" w:after="60" w:line="264" w:lineRule="auto"/>
              <w:jc w:val="left"/>
            </w:pPr>
            <w:r>
              <w:rPr>
                <w:rFonts w:ascii="Calibri" w:hAnsi="Calibri"/>
                <w:b w:val="0"/>
                <w:i w:val="0"/>
                <w:color w:val="282828"/>
                <w:sz w:val="19"/>
              </w:rPr>
              <w:t>- Sprint 2 (Semanas 7-8): Catálogo de disciplinas, creación de horarios y motor de reservas con aforo máximo de 8 cupos (regla RN-01).</w:t>
            </w:r>
          </w:p>
          <w:p>
            <w:pPr>
              <w:spacing w:before="40" w:after="60" w:line="264" w:lineRule="auto"/>
              <w:jc w:val="left"/>
            </w:pPr>
            <w:r>
              <w:rPr>
                <w:rFonts w:ascii="Calibri" w:hAnsi="Calibri"/>
                <w:b w:val="0"/>
                <w:i w:val="0"/>
                <w:color w:val="282828"/>
                <w:sz w:val="19"/>
              </w:rPr>
              <w:t>- Sprint 3 (Semanas 9-10): Gestión de planes de clase, suscripciones, carga de comprobantes bancarios y políticas de cancelación (regla de 4 horas).</w:t>
            </w:r>
          </w:p>
          <w:p>
            <w:pPr>
              <w:spacing w:before="40" w:after="60" w:line="264" w:lineRule="auto"/>
              <w:jc w:val="left"/>
            </w:pPr>
            <w:r>
              <w:rPr>
                <w:rFonts w:ascii="Calibri" w:hAnsi="Calibri"/>
                <w:b w:val="0"/>
                <w:i w:val="0"/>
                <w:color w:val="282828"/>
                <w:sz w:val="19"/>
              </w:rPr>
              <w:t>- Sprint 4 (Semana 11): Pase QR dinámico (expiración a 300s), escáner web docente por cámara, contingencia manual por PIN de 4 dígitos y rutina 'deleteClassesCascade'.</w:t>
            </w:r>
          </w:p>
          <w:p>
            <w:pPr>
              <w:spacing w:before="40" w:after="60" w:line="264" w:lineRule="auto"/>
              <w:jc w:val="left"/>
            </w:pPr>
            <w:r>
              <w:rPr>
                <w:rFonts w:ascii="Calibri" w:hAnsi="Calibri"/>
                <w:b w:val="0"/>
                <w:i w:val="0"/>
                <w:color w:val="282828"/>
                <w:sz w:val="19"/>
              </w:rPr>
              <w:t>El seguimiento del proyecto se encuentra documentado y auditado semanalmente a través de las Fichas de Avance 01 a 05, la Carta Gantt actualizada (Semanas 1 a 18) y los repositorios de GitHub con control de versiones y trazabilidad de User Stories (HU-01 a HU-12).</w:t>
            </w:r>
          </w:p>
        </w:tc>
      </w:tr>
      <w:tr w:rsidR="0003309E" w14:paraId="74E704B1" w14:textId="77777777" w:rsidTr="000A1331">
        <w:trPr/>
        <w:tc>
          <w:tcPr>
            <w:tcW w:w="2592" w:type="dxa"/>
            <w:vAlign w:val="center"/>
          </w:tcPr>
          <w:p w14:paraId="0313DD97" w14:textId="77777777" w:rsidR="0003309E" w:rsidRPr="00CA22A9" w:rsidRDefault="0003309E" w:rsidP="00585A13">
            <w:pPr>
              <w:keepNext w:val="0"/>
              <w:rPr>
                <w:rFonts w:ascii="Calibri" w:hAnsi="Calibri"/>
                <w:color w:val="1F3864" w:themeColor="accent1" w:themeShade="80"/>
              </w:rPr>
            </w:pPr>
            <w:r>
              <w:rPr>
                <w:rFonts w:ascii="Calibri" w:hAnsi="Calibri"/>
                <w:color w:val="000000"/>
              </w:rPr>
              <w:t>Evidencias de avance</w:t>
            </w:r>
          </w:p>
        </w:tc>
        <w:tc>
          <w:tcPr>
            <w:tcW w:w="12240" w:type="dxa"/>
            <w:vAlign w:val="center"/>
          </w:tcPr>
          <w:p>
            <w:pPr>
              <w:spacing w:before="40" w:after="60" w:line="264" w:lineRule="auto"/>
              <w:jc w:val="left"/>
            </w:pPr>
            <w:r/>
            <w:r>
              <w:rPr>
                <w:rFonts w:ascii="Calibri" w:hAnsi="Calibri"/>
                <w:b w:val="0"/>
                <w:i w:val="0"/>
                <w:color w:val="282828"/>
                <w:sz w:val="19"/>
              </w:rPr>
              <w:t>Evidencias integradas y verificables en el repositorio del proyecto:</w:t>
            </w:r>
          </w:p>
          <w:p>
            <w:pPr>
              <w:spacing w:before="40" w:after="60" w:line="264" w:lineRule="auto"/>
              <w:jc w:val="left"/>
            </w:pPr>
            <w:r>
              <w:rPr>
                <w:rFonts w:ascii="Calibri" w:hAnsi="Calibri"/>
                <w:b w:val="0"/>
                <w:i w:val="0"/>
                <w:color w:val="282828"/>
                <w:sz w:val="19"/>
              </w:rPr>
              <w:t>1. Código fuente y arquitectura: Proyecto estructurado en Next.js App Router (Stitch UI) y Supabase en el repositorio de GitHub, cumpliendo las 5 vistas del Modelo 4+1 de Kruchten (Lógica, Desarrollo, Procesos, Física y Escenarios +1) con diagramas SVG y dashboard HTML interactivo.</w:t>
            </w:r>
          </w:p>
          <w:p>
            <w:pPr>
              <w:spacing w:before="40" w:after="60" w:line="264" w:lineRule="auto"/>
              <w:jc w:val="left"/>
            </w:pPr>
            <w:r>
              <w:rPr>
                <w:rFonts w:ascii="Calibri" w:hAnsi="Calibri"/>
                <w:b w:val="0"/>
                <w:i w:val="0"/>
                <w:color w:val="282828"/>
                <w:sz w:val="19"/>
              </w:rPr>
              <w:t>2. Scripts de base de datos y seguridad: 'full_database_setup.sql' (esquema relacional en 3FN con tablas profiles, clase, reserva, asistencia, planes, user_suscripciones y user_pagos) y 'rls_politicas_seguridad.sql' (políticas Row Level Security para aislamiento estricto de datos).</w:t>
            </w:r>
          </w:p>
          <w:p>
            <w:pPr>
              <w:spacing w:before="40" w:after="60" w:line="264" w:lineRule="auto"/>
              <w:jc w:val="left"/>
            </w:pPr>
            <w:r>
              <w:rPr>
                <w:rFonts w:ascii="Calibri" w:hAnsi="Calibri"/>
                <w:b w:val="0"/>
                <w:i w:val="0"/>
                <w:color w:val="282828"/>
                <w:sz w:val="19"/>
              </w:rPr>
              <w:t>3. Matriz de pruebas y aseguramiento de calidad: Evidencia documentada de pruebas de integración sobre Release v0.8.5-sprint4 (bloqueo atómico al intentar reservar cupo 9/8 con rechazo HTTP 409, no duplicidad de reservas, token QR expirado y validación de contingencia manual con PIN).</w:t>
            </w:r>
          </w:p>
          <w:p>
            <w:pPr>
              <w:spacing w:before="40" w:after="60" w:line="264" w:lineRule="auto"/>
              <w:jc w:val="left"/>
            </w:pPr>
            <w:r>
              <w:rPr>
                <w:rFonts w:ascii="Calibri" w:hAnsi="Calibri"/>
                <w:b w:val="0"/>
                <w:i w:val="0"/>
                <w:color w:val="282828"/>
                <w:sz w:val="19"/>
              </w:rPr>
              <w:t>4. Demostración funcional del software: Fichas de Avance 01 a 05 con captura de recorridos exitosos y alternativos, nómina docente interactiva y diagrama de actividades UML bajo estándar Duoc UC.</w:t>
            </w:r>
          </w:p>
          <w:p>
            <w:pPr>
              <w:spacing w:before="40" w:after="60" w:line="264" w:lineRule="auto"/>
              <w:jc w:val="left"/>
            </w:pPr>
            <w:r>
              <w:rPr>
                <w:rFonts w:ascii="Calibri" w:hAnsi="Calibri"/>
                <w:b w:val="0"/>
                <w:i w:val="0"/>
                <w:color w:val="282828"/>
                <w:sz w:val="19"/>
              </w:rPr>
              <w:t>5. Planificación y control: Carta Gantt detallada de 18 semanas y Product Backlog actualizado reflejando el 87.50 % de avance auditado.</w:t>
            </w:r>
          </w:p>
        </w:tc>
      </w:tr>
    </w:tbl>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4832"/>
      </w:tblGrid>
      <w:tr w:rsidR="00586C9C" w14:paraId="31DD54DD" w14:textId="77777777" w:rsidTr="000A1331">
        <w:trPr/>
        <w:tc>
          <w:tcPr>
            <w:tcW w:w="14832" w:type="dxa"/>
            <w:vAlign w:val="center"/>
          </w:tcPr>
          <w:p w14:paraId="26CA16E7" w14:textId="77777777" w:rsidR="00586C9C" w:rsidRPr="00BF2EA6" w:rsidRDefault="00586C9C" w:rsidP="000A1331">
            <w:pPr>
              <w:keepNext w:val="0"/>
              <w:rPr>
                <w:b/>
                <w:color w:val="1F3864" w:themeColor="accent1" w:themeShade="80"/>
                <w:sz w:val="28"/>
                <w:szCs w:val="28"/>
              </w:rPr>
            </w:pPr>
            <w:r>
              <w:rPr>
                <w:b/>
                <w:color w:val="000000"/>
                <w:sz w:val="28"/>
                <w:szCs w:val="28"/>
              </w:rPr>
              <w:lastRenderedPageBreak/>
              <w:t>2</w:t>
            </w:r>
            <w:r w:rsidRPr="00874D16">
              <w:rPr>
                <w:b/>
                <w:color w:val="000000"/>
                <w:sz w:val="28"/>
                <w:szCs w:val="28"/>
              </w:rPr>
              <w:t xml:space="preserve">. </w:t>
            </w:r>
            <w:r>
              <w:rPr>
                <w:b/>
                <w:color w:val="000000"/>
                <w:sz w:val="28"/>
                <w:szCs w:val="28"/>
              </w:rPr>
              <w:t xml:space="preserve">Monitoreo del Plan de Trabajo </w:t>
            </w:r>
          </w:p>
        </w:tc>
      </w:tr>
      <w:tr w:rsidR="00586C9C" w14:paraId="07A4A632" w14:textId="77777777" w:rsidTr="000A1331">
        <w:trPr/>
        <w:tc>
          <w:tcPr>
            <w:tcW w:w="14832" w:type="dxa"/>
            <w:shd w:val="clear" w:color="auto" w:fill="D9E2F3" w:themeFill="accent1" w:themeFillTint="33"/>
            <w:vAlign w:val="center"/>
          </w:tcPr>
          <w:p w14:paraId="130D7DED" w14:textId="5701F8AA" w:rsidR="00586C9C" w:rsidRPr="00DA1615" w:rsidRDefault="00586C9C" w:rsidP="00D714E2">
            <w:pPr>
              <w:keepNext w:val="0"/>
              <w:jc w:val="both"/>
              <w:rPr>
                <w:rFonts w:ascii="Calibri" w:hAnsi="Calibri"/>
                <w:color w:val="1F3864" w:themeColor="accent1" w:themeShade="80"/>
              </w:rPr>
            </w:pPr>
            <w:r w:rsidRPr="00DA1615">
              <w:rPr>
                <w:rFonts w:ascii="Calibri" w:hAnsi="Calibri"/>
                <w:color w:val="000000"/>
              </w:rPr>
              <w:t xml:space="preserve">Examina cuidadosamente tu plan de trabajo, enfocándote especialmente en la columna de </w:t>
            </w:r>
            <w:r w:rsidR="00BE1024">
              <w:rPr>
                <w:rFonts w:ascii="Calibri" w:hAnsi="Calibri"/>
                <w:color w:val="000000"/>
              </w:rPr>
              <w:t xml:space="preserve">estado de avance </w:t>
            </w:r>
            <w:r w:rsidRPr="00DA1615">
              <w:rPr>
                <w:rFonts w:ascii="Calibri" w:hAnsi="Calibri"/>
                <w:color w:val="00000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872"/>
        <w:gridCol w:w="2376"/>
        <w:gridCol w:w="2088"/>
        <w:gridCol w:w="1584"/>
        <w:gridCol w:w="1728"/>
        <w:gridCol w:w="2088"/>
        <w:gridCol w:w="1656"/>
        <w:gridCol w:w="1584"/>
      </w:tblGrid>
      <w:tr w:rsidR="00FD5149" w:rsidRPr="006E3B0D" w14:paraId="66FA4353" w14:textId="77777777" w:rsidTr="00EA0C09">
        <w:trPr>
          <w:cantSplit/>
          <w:tblHeader/>
        </w:trPr>
        <w:tc>
          <w:tcPr>
            <w:tcW w:w="1584" w:type="dxa"/>
            <w:gridSpan w:val="8"/>
            <w:vAlign w:val="center"/>
          </w:tcPr>
          <w:p w14:paraId="0EAB9185"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Plan de Trabajo</w:t>
            </w:r>
          </w:p>
        </w:tc>
      </w:tr>
      <w:tr w:rsidR="00FD5149" w:rsidRPr="006E3B0D" w14:paraId="54BB210F" w14:textId="77777777" w:rsidTr="009552E5">
        <w:trPr>
          <w:cantSplit/>
          <w:tblHeader/>
        </w:trPr>
        <w:tc>
          <w:tcPr>
            <w:tcW w:w="1872" w:type="dxa"/>
            <w:vAlign w:val="center"/>
          </w:tcPr>
          <w:p w14:paraId="29F5C735" w14:textId="77777777" w:rsidR="00FD5149" w:rsidRPr="006E3B0D" w:rsidRDefault="00FD5149" w:rsidP="00FD5149">
            <w:pPr>
              <w:keepNext w:val="0"/>
              <w:spacing w:after="80"/>
              <w:jc w:val="center"/>
              <w:rPr>
                <w:rFonts w:ascii="Calibri" w:hAnsi="Calibri"/>
                <w:color w:val="1F3864" w:themeColor="accent1" w:themeShade="80"/>
                <w:sz w:val="18"/>
              </w:rPr>
            </w:pPr>
            <w:r>
              <w:rPr>
                <w:rFonts w:ascii="Calibri" w:hAnsi="Calibri"/>
                <w:color w:val="000000"/>
                <w:sz w:val="16"/>
              </w:rPr>
              <w:t>C</w:t>
            </w:r>
            <w:r w:rsidRPr="006E3B0D">
              <w:rPr>
                <w:rFonts w:ascii="Calibri" w:hAnsi="Calibri"/>
                <w:color w:val="000000"/>
                <w:sz w:val="16"/>
              </w:rPr>
              <w:t>ompetencia</w:t>
            </w:r>
            <w:r>
              <w:rPr>
                <w:rFonts w:ascii="Calibri" w:hAnsi="Calibri"/>
                <w:color w:val="000000"/>
                <w:sz w:val="16"/>
              </w:rPr>
              <w:t xml:space="preserve"> o unidades de competencias</w:t>
            </w:r>
          </w:p>
        </w:tc>
        <w:tc>
          <w:tcPr>
            <w:tcW w:w="2376" w:type="dxa"/>
            <w:vAlign w:val="center"/>
          </w:tcPr>
          <w:p w14:paraId="54E7FFFD"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Actividades</w:t>
            </w:r>
          </w:p>
        </w:tc>
        <w:tc>
          <w:tcPr>
            <w:tcW w:w="2088" w:type="dxa"/>
            <w:vAlign w:val="center"/>
          </w:tcPr>
          <w:p w14:paraId="63546E8A"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Recursos</w:t>
            </w:r>
          </w:p>
        </w:tc>
        <w:tc>
          <w:tcPr>
            <w:tcW w:w="1584" w:type="dxa"/>
            <w:vAlign w:val="center"/>
          </w:tcPr>
          <w:p w14:paraId="392197F9"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Duración de la actividad</w:t>
            </w:r>
          </w:p>
        </w:tc>
        <w:tc>
          <w:tcPr>
            <w:tcW w:w="1728" w:type="dxa"/>
            <w:vAlign w:val="center"/>
          </w:tcPr>
          <w:p w14:paraId="58CFFE40"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Responsable</w:t>
            </w:r>
            <w:r w:rsidRPr="006E3B0D">
              <w:rPr>
                <w:rStyle w:val="Refdenotaalpie"/>
                <w:rFonts w:ascii="Calibri" w:hAnsi="Calibri"/>
                <w:color w:val="000000"/>
                <w:sz w:val="16"/>
              </w:rPr>
              <w:footnoteReference w:id="1"/>
            </w:r>
          </w:p>
        </w:tc>
        <w:tc>
          <w:tcPr>
            <w:tcW w:w="2088" w:type="dxa"/>
            <w:vAlign w:val="center"/>
          </w:tcPr>
          <w:p w14:paraId="3E59D270"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Observaciones</w:t>
            </w:r>
          </w:p>
        </w:tc>
        <w:tc>
          <w:tcPr>
            <w:tcW w:w="1656" w:type="dxa"/>
            <w:vAlign w:val="center"/>
          </w:tcPr>
          <w:p w14:paraId="16EAEFD4" w14:textId="77777777" w:rsidR="00FD5149" w:rsidRPr="006E3B0D" w:rsidRDefault="00FD5149" w:rsidP="00FD5149">
            <w:pPr>
              <w:keepNext w:val="0"/>
              <w:spacing w:after="80"/>
              <w:jc w:val="center"/>
              <w:rPr>
                <w:rFonts w:ascii="Calibri" w:hAnsi="Calibri"/>
                <w:color w:val="1F3864" w:themeColor="accent1" w:themeShade="80"/>
                <w:sz w:val="18"/>
              </w:rPr>
            </w:pPr>
            <w:r w:rsidRPr="006E3B0D">
              <w:rPr>
                <w:rFonts w:ascii="Calibri" w:hAnsi="Calibri"/>
                <w:color w:val="000000"/>
                <w:sz w:val="16"/>
              </w:rPr>
              <w:t>Estado de avance</w:t>
            </w:r>
          </w:p>
        </w:tc>
        <w:tc>
          <w:tcPr>
            <w:tcW w:w="1584" w:type="dxa"/>
            <w:vAlign w:val="center"/>
          </w:tcPr>
          <w:p w14:paraId="4DFF4306" w14:textId="77777777" w:rsidR="00FD5149" w:rsidRPr="006E3B0D" w:rsidRDefault="00FD5149" w:rsidP="00FD5149">
            <w:pPr>
              <w:keepNext w:val="0"/>
              <w:spacing w:after="80"/>
              <w:jc w:val="center"/>
              <w:rPr>
                <w:rFonts w:ascii="Calibri" w:hAnsi="Calibri"/>
                <w:color w:val="1F3864" w:themeColor="accent1" w:themeShade="80"/>
                <w:sz w:val="18"/>
              </w:rPr>
            </w:pPr>
            <w:r>
              <w:rPr>
                <w:rFonts w:ascii="Calibri" w:hAnsi="Calibri"/>
                <w:color w:val="000000"/>
                <w:sz w:val="16"/>
              </w:rPr>
              <w:t>A</w:t>
            </w:r>
            <w:r w:rsidRPr="006E3B0D">
              <w:rPr>
                <w:rFonts w:ascii="Calibri" w:hAnsi="Calibri"/>
                <w:color w:val="000000"/>
                <w:sz w:val="16"/>
              </w:rPr>
              <w:t>justes</w:t>
            </w:r>
          </w:p>
        </w:tc>
      </w:tr>
      <w:tr w:rsidR="00FD5149" w:rsidRPr="006E3B0D" w14:paraId="0D4FAAA2" w14:textId="77777777" w:rsidTr="00EA0C09">
        <w:trPr>
          <w:cantSplit/>
        </w:trPr>
        <w:tc>
          <w:tcPr>
            <w:tcW w:w="1872" w:type="dxa"/>
          </w:tcPr>
          <w:p>
            <w:pPr>
              <w:spacing w:before="40" w:after="60" w:line="264" w:lineRule="auto"/>
              <w:jc w:val="left"/>
            </w:pPr>
            <w:r/>
            <w:r>
              <w:rPr>
                <w:rFonts w:ascii="Calibri" w:hAnsi="Calibri"/>
                <w:b w:val="0"/>
                <w:i w:val="0"/>
                <w:color w:val="282828"/>
                <w:sz w:val="16"/>
              </w:rPr>
              <w:t>Análisis de requerimientos</w:t>
            </w:r>
          </w:p>
        </w:tc>
        <w:tc>
          <w:tcPr>
            <w:tcW w:w="2376" w:type="dxa"/>
          </w:tcPr>
          <w:p>
            <w:pPr>
              <w:spacing w:before="40" w:after="60" w:line="264" w:lineRule="auto"/>
              <w:jc w:val="left"/>
            </w:pPr>
            <w:r/>
            <w:r>
              <w:rPr>
                <w:rFonts w:ascii="Calibri" w:hAnsi="Calibri"/>
                <w:b w:val="0"/>
                <w:i w:val="0"/>
                <w:color w:val="282828"/>
                <w:sz w:val="16"/>
              </w:rPr>
              <w:t>Definir alcance, perfiles y reglas de negocio</w:t>
            </w:r>
          </w:p>
        </w:tc>
        <w:tc>
          <w:tcPr>
            <w:tcW w:w="2088" w:type="dxa"/>
          </w:tcPr>
          <w:p>
            <w:pPr>
              <w:spacing w:before="40" w:after="60" w:line="264" w:lineRule="auto"/>
              <w:jc w:val="left"/>
            </w:pPr>
            <w:r/>
            <w:r>
              <w:rPr>
                <w:rFonts w:ascii="Calibri" w:hAnsi="Calibri"/>
                <w:b w:val="0"/>
                <w:i w:val="0"/>
                <w:color w:val="282828"/>
                <w:sz w:val="16"/>
              </w:rPr>
              <w:t>Guía Fase 1 y requerimientos de la academia</w:t>
            </w:r>
          </w:p>
        </w:tc>
        <w:tc>
          <w:tcPr>
            <w:tcW w:w="1584" w:type="dxa"/>
          </w:tcPr>
          <w:p>
            <w:pPr>
              <w:spacing w:before="40" w:after="60" w:line="264" w:lineRule="auto"/>
              <w:jc w:val="center"/>
            </w:pPr>
            <w:r/>
            <w:r>
              <w:rPr>
                <w:rFonts w:ascii="Calibri" w:hAnsi="Calibri"/>
                <w:b w:val="0"/>
                <w:i w:val="0"/>
                <w:color w:val="282828"/>
                <w:sz w:val="16"/>
              </w:rPr>
              <w:t>S1–S4</w:t>
            </w:r>
          </w:p>
        </w:tc>
        <w:tc>
          <w:tcPr>
            <w:tcW w:w="1728" w:type="dxa"/>
          </w:tcPr>
          <w:p>
            <w:pPr>
              <w:spacing w:before="40" w:after="60" w:line="264" w:lineRule="auto"/>
              <w:jc w:val="left"/>
            </w:pPr>
            <w:r/>
            <w:r>
              <w:rPr>
                <w:rFonts w:ascii="Calibri" w:hAnsi="Calibri"/>
                <w:b w:val="0"/>
                <w:i w:val="0"/>
                <w:color w:val="282828"/>
                <w:sz w:val="16"/>
              </w:rPr>
              <w:t>Benjamín García y equipo</w:t>
            </w:r>
          </w:p>
        </w:tc>
        <w:tc>
          <w:tcPr>
            <w:tcW w:w="2088" w:type="dxa"/>
          </w:tcPr>
          <w:p>
            <w:pPr>
              <w:spacing w:before="40" w:after="60" w:line="264" w:lineRule="auto"/>
              <w:jc w:val="left"/>
            </w:pPr>
            <w:r/>
            <w:r>
              <w:rPr>
                <w:rFonts w:ascii="Calibri" w:hAnsi="Calibri"/>
                <w:b w:val="0"/>
                <w:i w:val="0"/>
                <w:color w:val="282828"/>
                <w:sz w:val="16"/>
              </w:rPr>
              <w:t>Historias de usuario HU01-HU12 y modelo entidad-relación formalizados.</w:t>
            </w:r>
          </w:p>
        </w:tc>
        <w:tc>
          <w:tcPr>
            <w:tcW w:w="1656" w:type="dxa"/>
          </w:tcPr>
          <w:p>
            <w:pPr>
              <w:spacing w:before="40" w:after="60" w:line="264" w:lineRule="auto"/>
              <w:jc w:val="center"/>
            </w:pPr>
            <w:r/>
            <w:r>
              <w:rPr>
                <w:rFonts w:ascii="Calibri" w:hAnsi="Calibri"/>
                <w:b/>
                <w:i w:val="0"/>
                <w:color w:val="282828"/>
                <w:sz w:val="16"/>
              </w:rPr>
              <w:t>Completado (100 %)</w:t>
            </w:r>
          </w:p>
        </w:tc>
        <w:tc>
          <w:tcPr>
            <w:tcW w:w="1584" w:type="dxa"/>
          </w:tcPr>
          <w:p>
            <w:pPr>
              <w:spacing w:before="40" w:after="60" w:line="264" w:lineRule="auto"/>
              <w:jc w:val="left"/>
            </w:pPr>
            <w:r/>
            <w:r>
              <w:rPr>
                <w:rFonts w:ascii="Calibri" w:hAnsi="Calibri"/>
                <w:b w:val="0"/>
                <w:i w:val="0"/>
                <w:color w:val="282828"/>
                <w:sz w:val="16"/>
              </w:rPr>
              <w:t>Alcance delimitado con precisión en Ficha 01 y Ficha 02</w:t>
            </w:r>
          </w:p>
        </w:tc>
      </w:tr>
      <w:tr>
        <w:trPr>
          <w:cantSplit/>
        </w:trPr>
        <w:tc>
          <w:tcPr>
            <w:tcW w:type="dxa" w:w="1872"/>
          </w:tcPr>
          <w:p>
            <w:pPr>
              <w:spacing w:before="40" w:after="60" w:line="264" w:lineRule="auto"/>
              <w:jc w:val="left"/>
            </w:pPr>
            <w:r/>
            <w:r>
              <w:rPr>
                <w:rFonts w:ascii="Calibri" w:hAnsi="Calibri"/>
                <w:b w:val="0"/>
                <w:i w:val="0"/>
                <w:color w:val="282828"/>
                <w:sz w:val="16"/>
              </w:rPr>
              <w:t>Diseño y desarrollo de software</w:t>
            </w:r>
          </w:p>
        </w:tc>
        <w:tc>
          <w:tcPr>
            <w:tcW w:type="dxa" w:w="2376"/>
          </w:tcPr>
          <w:p>
            <w:pPr>
              <w:spacing w:before="40" w:after="60" w:line="264" w:lineRule="auto"/>
              <w:jc w:val="left"/>
            </w:pPr>
            <w:r/>
            <w:r>
              <w:rPr>
                <w:rFonts w:ascii="Calibri" w:hAnsi="Calibri"/>
                <w:b w:val="0"/>
                <w:i w:val="0"/>
                <w:color w:val="282828"/>
                <w:sz w:val="16"/>
              </w:rPr>
              <w:t>Desarrollar vistas de alumno, profesor y administrador</w:t>
            </w:r>
          </w:p>
        </w:tc>
        <w:tc>
          <w:tcPr>
            <w:tcW w:type="dxa" w:w="2088"/>
          </w:tcPr>
          <w:p>
            <w:pPr>
              <w:spacing w:before="40" w:after="60" w:line="264" w:lineRule="auto"/>
              <w:jc w:val="left"/>
            </w:pPr>
            <w:r/>
            <w:r>
              <w:rPr>
                <w:rFonts w:ascii="Calibri" w:hAnsi="Calibri"/>
                <w:b w:val="0"/>
                <w:i w:val="0"/>
                <w:color w:val="282828"/>
                <w:sz w:val="16"/>
              </w:rPr>
              <w:t>Entorno Next.js, Stitch UI y Supabase</w:t>
            </w:r>
          </w:p>
        </w:tc>
        <w:tc>
          <w:tcPr>
            <w:tcW w:type="dxa" w:w="1584"/>
          </w:tcPr>
          <w:p>
            <w:pPr>
              <w:spacing w:before="40" w:after="60" w:line="264" w:lineRule="auto"/>
              <w:jc w:val="center"/>
            </w:pPr>
            <w:r/>
            <w:r>
              <w:rPr>
                <w:rFonts w:ascii="Calibri" w:hAnsi="Calibri"/>
                <w:b w:val="0"/>
                <w:i w:val="0"/>
                <w:color w:val="282828"/>
                <w:sz w:val="16"/>
              </w:rPr>
              <w:t>S5–S6</w:t>
            </w:r>
          </w:p>
        </w:tc>
        <w:tc>
          <w:tcPr>
            <w:tcW w:type="dxa" w:w="1728"/>
          </w:tcPr>
          <w:p>
            <w:pPr>
              <w:spacing w:before="40" w:after="60" w:line="264" w:lineRule="auto"/>
              <w:jc w:val="left"/>
            </w:pPr>
            <w:r/>
            <w:r>
              <w:rPr>
                <w:rFonts w:ascii="Calibri" w:hAnsi="Calibri"/>
                <w:b w:val="0"/>
                <w:i w:val="0"/>
                <w:color w:val="282828"/>
                <w:sz w:val="16"/>
              </w:rPr>
              <w:t>Benjamín García y equipo</w:t>
            </w:r>
          </w:p>
        </w:tc>
        <w:tc>
          <w:tcPr>
            <w:tcW w:type="dxa" w:w="2088"/>
          </w:tcPr>
          <w:p>
            <w:pPr>
              <w:spacing w:before="40" w:after="60" w:line="264" w:lineRule="auto"/>
              <w:jc w:val="left"/>
            </w:pPr>
            <w:r/>
            <w:r>
              <w:rPr>
                <w:rFonts w:ascii="Calibri" w:hAnsi="Calibri"/>
                <w:b w:val="0"/>
                <w:i w:val="0"/>
                <w:color w:val="282828"/>
                <w:sz w:val="16"/>
              </w:rPr>
              <w:t>Portales Alumna, Docente y Admin operativos con sesión JWT y RBAC.</w:t>
            </w:r>
          </w:p>
        </w:tc>
        <w:tc>
          <w:tcPr>
            <w:tcW w:type="dxa" w:w="1656"/>
          </w:tcPr>
          <w:p>
            <w:pPr>
              <w:spacing w:before="40" w:after="60" w:line="264" w:lineRule="auto"/>
              <w:jc w:val="center"/>
            </w:pPr>
            <w:r/>
            <w:r>
              <w:rPr>
                <w:rFonts w:ascii="Calibri" w:hAnsi="Calibri"/>
                <w:b/>
                <w:i w:val="0"/>
                <w:color w:val="282828"/>
                <w:sz w:val="16"/>
              </w:rPr>
              <w:t>Terminada y comprobada (100 %)</w:t>
            </w:r>
          </w:p>
        </w:tc>
        <w:tc>
          <w:tcPr>
            <w:tcW w:type="dxa" w:w="1584"/>
          </w:tcPr>
          <w:p>
            <w:pPr>
              <w:spacing w:before="40" w:after="60" w:line="264" w:lineRule="auto"/>
              <w:jc w:val="left"/>
            </w:pPr>
            <w:r/>
            <w:r>
              <w:rPr>
                <w:rFonts w:ascii="Calibri" w:hAnsi="Calibri"/>
                <w:b w:val="0"/>
                <w:i w:val="0"/>
                <w:color w:val="282828"/>
                <w:sz w:val="16"/>
              </w:rPr>
              <w:t>Rutas protegidas con Next.js Middleware y roles_whitelist</w:t>
            </w:r>
          </w:p>
        </w:tc>
      </w:tr>
      <w:tr>
        <w:trPr>
          <w:cantSplit/>
        </w:trPr>
        <w:tc>
          <w:tcPr>
            <w:tcW w:type="dxa" w:w="1872"/>
          </w:tcPr>
          <w:p>
            <w:pPr>
              <w:spacing w:before="40" w:after="60" w:line="264" w:lineRule="auto"/>
              <w:jc w:val="left"/>
            </w:pPr>
            <w:r/>
            <w:r>
              <w:rPr>
                <w:rFonts w:ascii="Calibri" w:hAnsi="Calibri"/>
                <w:b w:val="0"/>
                <w:i w:val="0"/>
                <w:color w:val="282828"/>
                <w:sz w:val="16"/>
              </w:rPr>
              <w:t>Desarrollo e integración</w:t>
            </w:r>
          </w:p>
        </w:tc>
        <w:tc>
          <w:tcPr>
            <w:tcW w:type="dxa" w:w="2376"/>
          </w:tcPr>
          <w:p>
            <w:pPr>
              <w:spacing w:before="40" w:after="60" w:line="264" w:lineRule="auto"/>
              <w:jc w:val="left"/>
            </w:pPr>
            <w:r/>
            <w:r>
              <w:rPr>
                <w:rFonts w:ascii="Calibri" w:hAnsi="Calibri"/>
                <w:b w:val="0"/>
                <w:i w:val="0"/>
                <w:color w:val="282828"/>
                <w:sz w:val="16"/>
              </w:rPr>
              <w:t>Crear horarios y consultar agenda docente y alumnos</w:t>
            </w:r>
          </w:p>
        </w:tc>
        <w:tc>
          <w:tcPr>
            <w:tcW w:type="dxa" w:w="2088"/>
          </w:tcPr>
          <w:p>
            <w:pPr>
              <w:spacing w:before="40" w:after="60" w:line="264" w:lineRule="auto"/>
              <w:jc w:val="left"/>
            </w:pPr>
            <w:r/>
            <w:r>
              <w:rPr>
                <w:rFonts w:ascii="Calibri" w:hAnsi="Calibri"/>
                <w:b w:val="0"/>
                <w:i w:val="0"/>
                <w:color w:val="282828"/>
                <w:sz w:val="16"/>
              </w:rPr>
              <w:t>Supabase API, tablas clase y profiles</w:t>
            </w:r>
          </w:p>
        </w:tc>
        <w:tc>
          <w:tcPr>
            <w:tcW w:type="dxa" w:w="1584"/>
          </w:tcPr>
          <w:p>
            <w:pPr>
              <w:spacing w:before="40" w:after="60" w:line="264" w:lineRule="auto"/>
              <w:jc w:val="center"/>
            </w:pPr>
            <w:r/>
            <w:r>
              <w:rPr>
                <w:rFonts w:ascii="Calibri" w:hAnsi="Calibri"/>
                <w:b w:val="0"/>
                <w:i w:val="0"/>
                <w:color w:val="282828"/>
                <w:sz w:val="16"/>
              </w:rPr>
              <w:t>S7–S8</w:t>
            </w:r>
          </w:p>
        </w:tc>
        <w:tc>
          <w:tcPr>
            <w:tcW w:type="dxa" w:w="1728"/>
          </w:tcPr>
          <w:p>
            <w:pPr>
              <w:spacing w:before="40" w:after="60" w:line="264" w:lineRule="auto"/>
              <w:jc w:val="left"/>
            </w:pPr>
            <w:r/>
            <w:r>
              <w:rPr>
                <w:rFonts w:ascii="Calibri" w:hAnsi="Calibri"/>
                <w:b w:val="0"/>
                <w:i w:val="0"/>
                <w:color w:val="282828"/>
                <w:sz w:val="16"/>
              </w:rPr>
              <w:t>Benjamín García y José Rivera</w:t>
            </w:r>
          </w:p>
        </w:tc>
        <w:tc>
          <w:tcPr>
            <w:tcW w:type="dxa" w:w="2088"/>
          </w:tcPr>
          <w:p>
            <w:pPr>
              <w:spacing w:before="40" w:after="60" w:line="264" w:lineRule="auto"/>
              <w:jc w:val="left"/>
            </w:pPr>
            <w:r/>
            <w:r>
              <w:rPr>
                <w:rFonts w:ascii="Calibri" w:hAnsi="Calibri"/>
                <w:b w:val="0"/>
                <w:i w:val="0"/>
                <w:color w:val="282828"/>
                <w:sz w:val="16"/>
              </w:rPr>
              <w:t>Agenda semanal responsiva y motor con control atómico de 8 cupos (RN-01).</w:t>
            </w:r>
          </w:p>
        </w:tc>
        <w:tc>
          <w:tcPr>
            <w:tcW w:type="dxa" w:w="1656"/>
          </w:tcPr>
          <w:p>
            <w:pPr>
              <w:spacing w:before="40" w:after="60" w:line="264" w:lineRule="auto"/>
              <w:jc w:val="center"/>
            </w:pPr>
            <w:r/>
            <w:r>
              <w:rPr>
                <w:rFonts w:ascii="Calibri" w:hAnsi="Calibri"/>
                <w:b/>
                <w:i w:val="0"/>
                <w:color w:val="282828"/>
                <w:sz w:val="16"/>
              </w:rPr>
              <w:t>Terminada y comprobada (100 %)</w:t>
            </w:r>
          </w:p>
        </w:tc>
        <w:tc>
          <w:tcPr>
            <w:tcW w:type="dxa" w:w="1584"/>
          </w:tcPr>
          <w:p>
            <w:pPr>
              <w:spacing w:before="40" w:after="60" w:line="264" w:lineRule="auto"/>
              <w:jc w:val="left"/>
            </w:pPr>
            <w:r/>
            <w:r>
              <w:rPr>
                <w:rFonts w:ascii="Calibri" w:hAnsi="Calibri"/>
                <w:b w:val="0"/>
                <w:i w:val="0"/>
                <w:color w:val="282828"/>
                <w:sz w:val="16"/>
              </w:rPr>
              <w:t>Integración relacional docente-clase-alumnos totalmente validada</w:t>
            </w:r>
          </w:p>
        </w:tc>
      </w:tr>
      <w:tr>
        <w:trPr>
          <w:cantSplit/>
        </w:trPr>
        <w:tc>
          <w:tcPr>
            <w:tcW w:type="dxa" w:w="1872"/>
          </w:tcPr>
          <w:p>
            <w:pPr>
              <w:spacing w:before="40" w:after="60" w:line="264" w:lineRule="auto"/>
              <w:jc w:val="left"/>
            </w:pPr>
            <w:r/>
            <w:r>
              <w:rPr>
                <w:rFonts w:ascii="Calibri" w:hAnsi="Calibri"/>
                <w:b w:val="0"/>
                <w:i w:val="0"/>
                <w:color w:val="282828"/>
                <w:sz w:val="16"/>
              </w:rPr>
              <w:t>Desarrollo y gestión de datos</w:t>
            </w:r>
          </w:p>
        </w:tc>
        <w:tc>
          <w:tcPr>
            <w:tcW w:type="dxa" w:w="2376"/>
          </w:tcPr>
          <w:p>
            <w:pPr>
              <w:spacing w:before="40" w:after="60" w:line="264" w:lineRule="auto"/>
              <w:jc w:val="left"/>
            </w:pPr>
            <w:r/>
            <w:r>
              <w:rPr>
                <w:rFonts w:ascii="Calibri" w:hAnsi="Calibri"/>
                <w:b w:val="0"/>
                <w:i w:val="0"/>
                <w:color w:val="282828"/>
                <w:sz w:val="16"/>
              </w:rPr>
              <w:t>Gestionar membresías, pagos y restricciones</w:t>
            </w:r>
          </w:p>
        </w:tc>
        <w:tc>
          <w:tcPr>
            <w:tcW w:type="dxa" w:w="2088"/>
          </w:tcPr>
          <w:p>
            <w:pPr>
              <w:spacing w:before="40" w:after="60" w:line="264" w:lineRule="auto"/>
              <w:jc w:val="left"/>
            </w:pPr>
            <w:r/>
            <w:r>
              <w:rPr>
                <w:rFonts w:ascii="Calibri" w:hAnsi="Calibri"/>
                <w:b w:val="0"/>
                <w:i w:val="0"/>
                <w:color w:val="282828"/>
                <w:sz w:val="16"/>
              </w:rPr>
              <w:t>Tablas planes, user_pagos y Storage S3</w:t>
            </w:r>
          </w:p>
        </w:tc>
        <w:tc>
          <w:tcPr>
            <w:tcW w:type="dxa" w:w="1584"/>
          </w:tcPr>
          <w:p>
            <w:pPr>
              <w:spacing w:before="40" w:after="60" w:line="264" w:lineRule="auto"/>
              <w:jc w:val="center"/>
            </w:pPr>
            <w:r/>
            <w:r>
              <w:rPr>
                <w:rFonts w:ascii="Calibri" w:hAnsi="Calibri"/>
                <w:b w:val="0"/>
                <w:i w:val="0"/>
                <w:color w:val="282828"/>
                <w:sz w:val="16"/>
              </w:rPr>
              <w:t>S9–S10</w:t>
            </w:r>
          </w:p>
        </w:tc>
        <w:tc>
          <w:tcPr>
            <w:tcW w:type="dxa" w:w="1728"/>
          </w:tcPr>
          <w:p>
            <w:pPr>
              <w:spacing w:before="40" w:after="60" w:line="264" w:lineRule="auto"/>
              <w:jc w:val="left"/>
            </w:pPr>
            <w:r/>
            <w:r>
              <w:rPr>
                <w:rFonts w:ascii="Calibri" w:hAnsi="Calibri"/>
                <w:b w:val="0"/>
                <w:i w:val="0"/>
                <w:color w:val="282828"/>
                <w:sz w:val="16"/>
              </w:rPr>
              <w:t>José Rivera y Benjamín García</w:t>
            </w:r>
          </w:p>
        </w:tc>
        <w:tc>
          <w:tcPr>
            <w:tcW w:type="dxa" w:w="2088"/>
          </w:tcPr>
          <w:p>
            <w:pPr>
              <w:spacing w:before="40" w:after="60" w:line="264" w:lineRule="auto"/>
              <w:jc w:val="left"/>
            </w:pPr>
            <w:r/>
            <w:r>
              <w:rPr>
                <w:rFonts w:ascii="Calibri" w:hAnsi="Calibri"/>
                <w:b w:val="0"/>
                <w:i w:val="0"/>
                <w:color w:val="282828"/>
                <w:sz w:val="16"/>
              </w:rPr>
              <w:t>Tablas listas; flujo de carga activo y descuento de créditos funcional.</w:t>
            </w:r>
          </w:p>
        </w:tc>
        <w:tc>
          <w:tcPr>
            <w:tcW w:type="dxa" w:w="1656"/>
          </w:tcPr>
          <w:p>
            <w:pPr>
              <w:spacing w:before="40" w:after="60" w:line="264" w:lineRule="auto"/>
              <w:jc w:val="center"/>
            </w:pPr>
            <w:r/>
            <w:r>
              <w:rPr>
                <w:rFonts w:ascii="Calibri" w:hAnsi="Calibri"/>
                <w:b/>
                <w:i w:val="0"/>
                <w:color w:val="282828"/>
                <w:sz w:val="16"/>
              </w:rPr>
              <w:t>Funciona parcialmente (80 %)</w:t>
            </w:r>
          </w:p>
        </w:tc>
        <w:tc>
          <w:tcPr>
            <w:tcW w:type="dxa" w:w="1584"/>
          </w:tcPr>
          <w:p>
            <w:pPr>
              <w:spacing w:before="40" w:after="60" w:line="264" w:lineRule="auto"/>
              <w:jc w:val="left"/>
            </w:pPr>
            <w:r/>
            <w:r>
              <w:rPr>
                <w:rFonts w:ascii="Calibri" w:hAnsi="Calibri"/>
                <w:b w:val="0"/>
                <w:i w:val="0"/>
                <w:color w:val="282828"/>
                <w:sz w:val="16"/>
              </w:rPr>
              <w:t>Módulo de conciliación rápida por administrador en prueba final (Semana 12)</w:t>
            </w:r>
          </w:p>
        </w:tc>
      </w:tr>
      <w:tr>
        <w:trPr>
          <w:cantSplit/>
        </w:trPr>
        <w:tc>
          <w:tcPr>
            <w:tcW w:type="dxa" w:w="1872"/>
          </w:tcPr>
          <w:p>
            <w:pPr>
              <w:spacing w:before="40" w:after="60" w:line="264" w:lineRule="auto"/>
              <w:jc w:val="left"/>
            </w:pPr>
            <w:r/>
            <w:r>
              <w:rPr>
                <w:rFonts w:ascii="Calibri" w:hAnsi="Calibri"/>
                <w:b w:val="0"/>
                <w:i w:val="0"/>
                <w:color w:val="282828"/>
                <w:sz w:val="16"/>
              </w:rPr>
              <w:t>Desarrollo e integración</w:t>
            </w:r>
          </w:p>
        </w:tc>
        <w:tc>
          <w:tcPr>
            <w:tcW w:type="dxa" w:w="2376"/>
          </w:tcPr>
          <w:p>
            <w:pPr>
              <w:spacing w:before="40" w:after="60" w:line="264" w:lineRule="auto"/>
              <w:jc w:val="left"/>
            </w:pPr>
            <w:r/>
            <w:r>
              <w:rPr>
                <w:rFonts w:ascii="Calibri" w:hAnsi="Calibri"/>
                <w:b w:val="0"/>
                <w:i w:val="0"/>
                <w:color w:val="282828"/>
                <w:sz w:val="16"/>
              </w:rPr>
              <w:t>Activar clase, generar y escanear QR para asistencia</w:t>
            </w:r>
          </w:p>
        </w:tc>
        <w:tc>
          <w:tcPr>
            <w:tcW w:type="dxa" w:w="2088"/>
          </w:tcPr>
          <w:p>
            <w:pPr>
              <w:spacing w:before="40" w:after="60" w:line="264" w:lineRule="auto"/>
              <w:jc w:val="left"/>
            </w:pPr>
            <w:r/>
            <w:r>
              <w:rPr>
                <w:rFonts w:ascii="Calibri" w:hAnsi="Calibri"/>
                <w:b w:val="0"/>
                <w:i w:val="0"/>
                <w:color w:val="282828"/>
                <w:sz w:val="16"/>
              </w:rPr>
              <w:t>html5-qrcode, token 300s y panel docente</w:t>
            </w:r>
          </w:p>
        </w:tc>
        <w:tc>
          <w:tcPr>
            <w:tcW w:type="dxa" w:w="1584"/>
          </w:tcPr>
          <w:p>
            <w:pPr>
              <w:spacing w:before="40" w:after="60" w:line="264" w:lineRule="auto"/>
              <w:jc w:val="center"/>
            </w:pPr>
            <w:r/>
            <w:r>
              <w:rPr>
                <w:rFonts w:ascii="Calibri" w:hAnsi="Calibri"/>
                <w:b w:val="0"/>
                <w:i w:val="0"/>
                <w:color w:val="282828"/>
                <w:sz w:val="16"/>
              </w:rPr>
              <w:t>S11–S12</w:t>
            </w:r>
          </w:p>
        </w:tc>
        <w:tc>
          <w:tcPr>
            <w:tcW w:type="dxa" w:w="1728"/>
          </w:tcPr>
          <w:p>
            <w:pPr>
              <w:spacing w:before="40" w:after="60" w:line="264" w:lineRule="auto"/>
              <w:jc w:val="left"/>
            </w:pPr>
            <w:r/>
            <w:r>
              <w:rPr>
                <w:rFonts w:ascii="Calibri" w:hAnsi="Calibri"/>
                <w:b w:val="0"/>
                <w:i w:val="0"/>
                <w:color w:val="282828"/>
                <w:sz w:val="16"/>
              </w:rPr>
              <w:t>José Rivera y Benjamín García</w:t>
            </w:r>
          </w:p>
        </w:tc>
        <w:tc>
          <w:tcPr>
            <w:tcW w:type="dxa" w:w="2088"/>
          </w:tcPr>
          <w:p>
            <w:pPr>
              <w:spacing w:before="40" w:after="60" w:line="264" w:lineRule="auto"/>
              <w:jc w:val="left"/>
            </w:pPr>
            <w:r/>
            <w:r>
              <w:rPr>
                <w:rFonts w:ascii="Calibri" w:hAnsi="Calibri"/>
                <w:b w:val="0"/>
                <w:i w:val="0"/>
                <w:color w:val="282828"/>
                <w:sz w:val="16"/>
              </w:rPr>
              <w:t>Pase QR dinámico, lector por cámara web y pase manual con PIN de 4 dígitos.</w:t>
            </w:r>
          </w:p>
        </w:tc>
        <w:tc>
          <w:tcPr>
            <w:tcW w:type="dxa" w:w="1656"/>
          </w:tcPr>
          <w:p>
            <w:pPr>
              <w:spacing w:before="40" w:after="60" w:line="264" w:lineRule="auto"/>
              <w:jc w:val="center"/>
            </w:pPr>
            <w:r/>
            <w:r>
              <w:rPr>
                <w:rFonts w:ascii="Calibri" w:hAnsi="Calibri"/>
                <w:b/>
                <w:i w:val="0"/>
                <w:color w:val="282828"/>
                <w:sz w:val="16"/>
              </w:rPr>
              <w:t>Terminada y comprobada (100 %)</w:t>
            </w:r>
          </w:p>
        </w:tc>
        <w:tc>
          <w:tcPr>
            <w:tcW w:type="dxa" w:w="1584"/>
          </w:tcPr>
          <w:p>
            <w:pPr>
              <w:spacing w:before="40" w:after="60" w:line="264" w:lineRule="auto"/>
              <w:jc w:val="left"/>
            </w:pPr>
            <w:r/>
            <w:r>
              <w:rPr>
                <w:rFonts w:ascii="Calibri" w:hAnsi="Calibri"/>
                <w:b w:val="0"/>
                <w:i w:val="0"/>
                <w:color w:val="282828"/>
                <w:sz w:val="16"/>
              </w:rPr>
              <w:t>Contingencia manual y rutina deleteClassesCascade incorporadas</w:t>
            </w:r>
          </w:p>
        </w:tc>
      </w:tr>
      <w:tr>
        <w:trPr>
          <w:cantSplit/>
        </w:trPr>
        <w:tc>
          <w:tcPr>
            <w:tcW w:type="dxa" w:w="1872"/>
          </w:tcPr>
          <w:p>
            <w:pPr>
              <w:spacing w:before="40" w:after="60" w:line="264" w:lineRule="auto"/>
              <w:jc w:val="left"/>
            </w:pPr>
            <w:r/>
            <w:r>
              <w:rPr>
                <w:rFonts w:ascii="Calibri" w:hAnsi="Calibri"/>
                <w:b w:val="0"/>
                <w:i w:val="0"/>
                <w:color w:val="282828"/>
                <w:sz w:val="16"/>
              </w:rPr>
              <w:t>Aseguramiento de calidad</w:t>
            </w:r>
          </w:p>
        </w:tc>
        <w:tc>
          <w:tcPr>
            <w:tcW w:type="dxa" w:w="2376"/>
          </w:tcPr>
          <w:p>
            <w:pPr>
              <w:spacing w:before="40" w:after="60" w:line="264" w:lineRule="auto"/>
              <w:jc w:val="left"/>
            </w:pPr>
            <w:r/>
            <w:r>
              <w:rPr>
                <w:rFonts w:ascii="Calibri" w:hAnsi="Calibri"/>
                <w:b w:val="0"/>
                <w:i w:val="0"/>
                <w:color w:val="282828"/>
                <w:sz w:val="16"/>
              </w:rPr>
              <w:t>Probar integración, roles y reglas de asistencia</w:t>
            </w:r>
          </w:p>
        </w:tc>
        <w:tc>
          <w:tcPr>
            <w:tcW w:type="dxa" w:w="2088"/>
          </w:tcPr>
          <w:p>
            <w:pPr>
              <w:spacing w:before="40" w:after="60" w:line="264" w:lineRule="auto"/>
              <w:jc w:val="left"/>
            </w:pPr>
            <w:r/>
            <w:r>
              <w:rPr>
                <w:rFonts w:ascii="Calibri" w:hAnsi="Calibri"/>
                <w:b w:val="0"/>
                <w:i w:val="0"/>
                <w:color w:val="282828"/>
                <w:sz w:val="16"/>
              </w:rPr>
              <w:t>Matriz de pruebas y entorno staging</w:t>
            </w:r>
          </w:p>
        </w:tc>
        <w:tc>
          <w:tcPr>
            <w:tcW w:type="dxa" w:w="1584"/>
          </w:tcPr>
          <w:p>
            <w:pPr>
              <w:spacing w:before="40" w:after="60" w:line="264" w:lineRule="auto"/>
              <w:jc w:val="center"/>
            </w:pPr>
            <w:r/>
            <w:r>
              <w:rPr>
                <w:rFonts w:ascii="Calibri" w:hAnsi="Calibri"/>
                <w:b w:val="0"/>
                <w:i w:val="0"/>
                <w:color w:val="282828"/>
                <w:sz w:val="16"/>
              </w:rPr>
              <w:t>S13–S15</w:t>
            </w:r>
          </w:p>
        </w:tc>
        <w:tc>
          <w:tcPr>
            <w:tcW w:type="dxa" w:w="1728"/>
          </w:tcPr>
          <w:p>
            <w:pPr>
              <w:spacing w:before="40" w:after="60" w:line="264" w:lineRule="auto"/>
              <w:jc w:val="left"/>
            </w:pPr>
            <w:r/>
            <w:r>
              <w:rPr>
                <w:rFonts w:ascii="Calibri" w:hAnsi="Calibri"/>
                <w:b w:val="0"/>
                <w:i w:val="0"/>
                <w:color w:val="282828"/>
                <w:sz w:val="16"/>
              </w:rPr>
              <w:t>José Rivera y apoyo del equipo</w:t>
            </w:r>
          </w:p>
        </w:tc>
        <w:tc>
          <w:tcPr>
            <w:tcW w:type="dxa" w:w="2088"/>
          </w:tcPr>
          <w:p>
            <w:pPr>
              <w:spacing w:before="40" w:after="60" w:line="264" w:lineRule="auto"/>
              <w:jc w:val="left"/>
            </w:pPr>
            <w:r/>
            <w:r>
              <w:rPr>
                <w:rFonts w:ascii="Calibri" w:hAnsi="Calibri"/>
                <w:b w:val="0"/>
                <w:i w:val="0"/>
                <w:color w:val="282828"/>
                <w:sz w:val="16"/>
              </w:rPr>
              <w:t>Pruebas de aforo atómico, expiración QR y políticas RLS comprobadas en v0.8.5.</w:t>
            </w:r>
          </w:p>
        </w:tc>
        <w:tc>
          <w:tcPr>
            <w:tcW w:type="dxa" w:w="1656"/>
          </w:tcPr>
          <w:p>
            <w:pPr>
              <w:spacing w:before="40" w:after="60" w:line="264" w:lineRule="auto"/>
              <w:jc w:val="center"/>
            </w:pPr>
            <w:r/>
            <w:r>
              <w:rPr>
                <w:rFonts w:ascii="Calibri" w:hAnsi="Calibri"/>
                <w:b/>
                <w:i w:val="0"/>
                <w:color w:val="282828"/>
                <w:sz w:val="16"/>
              </w:rPr>
              <w:t>En curso (75 %)</w:t>
            </w:r>
          </w:p>
        </w:tc>
        <w:tc>
          <w:tcPr>
            <w:tcW w:type="dxa" w:w="1584"/>
          </w:tcPr>
          <w:p>
            <w:pPr>
              <w:spacing w:before="40" w:after="60" w:line="264" w:lineRule="auto"/>
              <w:jc w:val="left"/>
            </w:pPr>
            <w:r/>
            <w:r>
              <w:rPr>
                <w:rFonts w:ascii="Calibri" w:hAnsi="Calibri"/>
                <w:b w:val="0"/>
                <w:i w:val="0"/>
                <w:color w:val="282828"/>
                <w:sz w:val="16"/>
              </w:rPr>
              <w:t>Pruebas de carga masiva y estrés programadas para Semanas 14 y 15</w:t>
            </w:r>
          </w:p>
        </w:tc>
      </w:tr>
      <w:tr>
        <w:trPr>
          <w:cantSplit/>
        </w:trPr>
        <w:tc>
          <w:tcPr>
            <w:tcW w:type="dxa" w:w="1872"/>
          </w:tcPr>
          <w:p>
            <w:pPr>
              <w:spacing w:before="40" w:after="60" w:line="264" w:lineRule="auto"/>
              <w:jc w:val="left"/>
            </w:pPr>
            <w:r/>
            <w:r>
              <w:rPr>
                <w:rFonts w:ascii="Calibri" w:hAnsi="Calibri"/>
                <w:b w:val="0"/>
                <w:i w:val="0"/>
                <w:color w:val="282828"/>
                <w:sz w:val="16"/>
              </w:rPr>
              <w:t>Soporte y continuidad operacional</w:t>
            </w:r>
          </w:p>
        </w:tc>
        <w:tc>
          <w:tcPr>
            <w:tcW w:type="dxa" w:w="2376"/>
          </w:tcPr>
          <w:p>
            <w:pPr>
              <w:spacing w:before="40" w:after="60" w:line="264" w:lineRule="auto"/>
              <w:jc w:val="left"/>
            </w:pPr>
            <w:r/>
            <w:r>
              <w:rPr>
                <w:rFonts w:ascii="Calibri" w:hAnsi="Calibri"/>
                <w:b w:val="0"/>
                <w:i w:val="0"/>
                <w:color w:val="282828"/>
                <w:sz w:val="16"/>
              </w:rPr>
              <w:t>Preparar despliegue, manuales y marcha blanca</w:t>
            </w:r>
          </w:p>
        </w:tc>
        <w:tc>
          <w:tcPr>
            <w:tcW w:type="dxa" w:w="2088"/>
          </w:tcPr>
          <w:p>
            <w:pPr>
              <w:spacing w:before="40" w:after="60" w:line="264" w:lineRule="auto"/>
              <w:jc w:val="left"/>
            </w:pPr>
            <w:r/>
            <w:r>
              <w:rPr>
                <w:rFonts w:ascii="Calibri" w:hAnsi="Calibri"/>
                <w:b w:val="0"/>
                <w:i w:val="0"/>
                <w:color w:val="282828"/>
                <w:sz w:val="16"/>
              </w:rPr>
              <w:t>Vercel Edge, Supabase Cloud y manuales</w:t>
            </w:r>
          </w:p>
        </w:tc>
        <w:tc>
          <w:tcPr>
            <w:tcW w:type="dxa" w:w="1584"/>
          </w:tcPr>
          <w:p>
            <w:pPr>
              <w:spacing w:before="40" w:after="60" w:line="264" w:lineRule="auto"/>
              <w:jc w:val="center"/>
            </w:pPr>
            <w:r/>
            <w:r>
              <w:rPr>
                <w:rFonts w:ascii="Calibri" w:hAnsi="Calibri"/>
                <w:b w:val="0"/>
                <w:i w:val="0"/>
                <w:color w:val="282828"/>
                <w:sz w:val="16"/>
              </w:rPr>
              <w:t>S13–S18</w:t>
            </w:r>
          </w:p>
        </w:tc>
        <w:tc>
          <w:tcPr>
            <w:tcW w:type="dxa" w:w="1728"/>
          </w:tcPr>
          <w:p>
            <w:pPr>
              <w:spacing w:before="40" w:after="60" w:line="264" w:lineRule="auto"/>
              <w:jc w:val="left"/>
            </w:pPr>
            <w:r/>
            <w:r>
              <w:rPr>
                <w:rFonts w:ascii="Calibri" w:hAnsi="Calibri"/>
                <w:b w:val="0"/>
                <w:i w:val="0"/>
                <w:color w:val="282828"/>
                <w:sz w:val="16"/>
              </w:rPr>
              <w:t>Manuel Campos y equipo</w:t>
            </w:r>
          </w:p>
        </w:tc>
        <w:tc>
          <w:tcPr>
            <w:tcW w:type="dxa" w:w="2088"/>
          </w:tcPr>
          <w:p>
            <w:pPr>
              <w:spacing w:before="40" w:after="60" w:line="264" w:lineRule="auto"/>
              <w:jc w:val="left"/>
            </w:pPr>
            <w:r/>
            <w:r>
              <w:rPr>
                <w:rFonts w:ascii="Calibri" w:hAnsi="Calibri"/>
                <w:b w:val="0"/>
                <w:i w:val="0"/>
                <w:color w:val="282828"/>
                <w:sz w:val="16"/>
              </w:rPr>
              <w:t>Infraestructura Cloudflare + Vercel + Supabase configurada y operativa.</w:t>
            </w:r>
          </w:p>
        </w:tc>
        <w:tc>
          <w:tcPr>
            <w:tcW w:type="dxa" w:w="1656"/>
          </w:tcPr>
          <w:p>
            <w:pPr>
              <w:spacing w:before="40" w:after="60" w:line="264" w:lineRule="auto"/>
              <w:jc w:val="center"/>
            </w:pPr>
            <w:r/>
            <w:r>
              <w:rPr>
                <w:rFonts w:ascii="Calibri" w:hAnsi="Calibri"/>
                <w:b/>
                <w:i w:val="0"/>
                <w:color w:val="282828"/>
                <w:sz w:val="16"/>
              </w:rPr>
              <w:t>En planificación (25 %)</w:t>
            </w:r>
          </w:p>
        </w:tc>
        <w:tc>
          <w:tcPr>
            <w:tcW w:type="dxa" w:w="1584"/>
          </w:tcPr>
          <w:p>
            <w:pPr>
              <w:spacing w:before="40" w:after="60" w:line="264" w:lineRule="auto"/>
              <w:jc w:val="left"/>
            </w:pPr>
            <w:r/>
            <w:r>
              <w:rPr>
                <w:rFonts w:ascii="Calibri" w:hAnsi="Calibri"/>
                <w:b w:val="0"/>
                <w:i w:val="0"/>
                <w:color w:val="282828"/>
                <w:sz w:val="16"/>
              </w:rPr>
              <w:t>Manuales de usuario y marcha blanca agendadas para Semanas 16 a 18</w:t>
            </w:r>
          </w:p>
        </w:tc>
      </w:tr>
    </w:tbl>
    <w:p>
      <w:r>
        <w:rPr>
          <w:sz w:val="18"/>
        </w:rPr>
        <w:t>Las semanas corresponden a la planificación de Fase 1, no a fechas reales de ejecución. Los responsables se basan en los roles definidos en esa fase; confirmar el reparto de estas actividades. “Por confirmar” indica ausencia de información de avance, sin atribuir un retraso.</w:t>
      </w: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4832"/>
      </w:tblGrid>
      <w:tr w:rsidR="0003309E" w14:paraId="12F51379" w14:textId="77777777" w:rsidTr="00C5122E">
        <w:trPr/>
        <w:tc>
          <w:tcPr>
            <w:tcW w:w="14832" w:type="dxa"/>
            <w:vAlign w:val="center"/>
          </w:tcPr>
          <w:p w14:paraId="6B756D75" w14:textId="77777777" w:rsidR="0003309E" w:rsidRPr="00BF2EA6" w:rsidRDefault="0003309E" w:rsidP="00585A13">
            <w:pPr>
              <w:keepNext w:val="0"/>
              <w:rPr>
                <w:b/>
                <w:color w:val="1F3864" w:themeColor="accent1" w:themeShade="80"/>
                <w:sz w:val="28"/>
                <w:szCs w:val="28"/>
              </w:rPr>
            </w:pPr>
            <w:r>
              <w:rPr>
                <w:b/>
                <w:color w:val="000000"/>
                <w:sz w:val="28"/>
                <w:szCs w:val="28"/>
              </w:rPr>
              <w:t>3</w:t>
            </w:r>
            <w:r w:rsidRPr="00874D16">
              <w:rPr>
                <w:b/>
                <w:color w:val="000000"/>
                <w:sz w:val="28"/>
                <w:szCs w:val="28"/>
              </w:rPr>
              <w:t xml:space="preserve">. </w:t>
            </w:r>
            <w:r>
              <w:rPr>
                <w:b/>
                <w:color w:val="000000"/>
                <w:sz w:val="28"/>
                <w:szCs w:val="28"/>
              </w:rPr>
              <w:t xml:space="preserve">Ajustes a partir del monitoreo </w:t>
            </w:r>
          </w:p>
        </w:tc>
      </w:tr>
      <w:tr w:rsidR="0003309E" w14:paraId="08F9EDA3" w14:textId="77777777" w:rsidTr="00C5122E">
        <w:trPr/>
        <w:tc>
          <w:tcPr>
            <w:tcW w:w="14832" w:type="dxa"/>
            <w:shd w:val="clear" w:color="auto" w:fill="D9E2F3" w:themeFill="accent1" w:themeFillTint="33"/>
            <w:vAlign w:val="center"/>
          </w:tcPr>
          <w:p w14:paraId="5EF8C712" w14:textId="6A7F5694" w:rsidR="0003309E" w:rsidRPr="00B27207" w:rsidRDefault="0003309E">
            <w:pPr>
              <w:pStyle w:val="Piedepgina"/>
              <w:keepNext w:val="0"/>
              <w:jc w:val="both"/>
              <w:rPr>
                <w:rFonts w:ascii="Calibri" w:hAnsi="Calibri"/>
                <w:color w:val="1F3864" w:themeColor="accent1" w:themeShade="80"/>
              </w:rPr>
            </w:pPr>
            <w:r w:rsidRPr="00B27207">
              <w:rPr>
                <w:rFonts w:ascii="Calibri" w:hAnsi="Calibri"/>
                <w:color w:val="000000"/>
              </w:rPr>
              <w:t>Profundiza en las observaciones de tu plan de trabajo</w:t>
            </w:r>
            <w:r w:rsidR="00521026">
              <w:rPr>
                <w:rFonts w:ascii="Calibri" w:hAnsi="Calibri"/>
                <w:color w:val="000000"/>
              </w:rPr>
              <w:t xml:space="preserve">. Analiza las actividades planificadas y señala </w:t>
            </w:r>
            <w:r w:rsidRPr="00B27207">
              <w:rPr>
                <w:rFonts w:ascii="Calibri" w:hAnsi="Calibri"/>
                <w:color w:val="000000"/>
              </w:rPr>
              <w:t xml:space="preserve">qué </w:t>
            </w:r>
            <w:r w:rsidR="00521026">
              <w:rPr>
                <w:rFonts w:ascii="Calibri" w:hAnsi="Calibri"/>
                <w:color w:val="000000"/>
              </w:rPr>
              <w:t xml:space="preserve">aspectos facilitaron u </w:t>
            </w:r>
            <w:r w:rsidRPr="00B27207">
              <w:rPr>
                <w:rFonts w:ascii="Calibri" w:hAnsi="Calibri"/>
                <w:color w:val="000000"/>
              </w:rPr>
              <w:t>obst</w:t>
            </w:r>
            <w:r w:rsidR="00521026">
              <w:rPr>
                <w:rFonts w:ascii="Calibri" w:hAnsi="Calibri"/>
                <w:color w:val="000000"/>
              </w:rPr>
              <w:t xml:space="preserve">aculizaron la ejecución del plan. Plantea </w:t>
            </w:r>
            <w:r w:rsidRPr="00B27207">
              <w:rPr>
                <w:rFonts w:ascii="Calibri" w:hAnsi="Calibri"/>
                <w:color w:val="000000"/>
              </w:rPr>
              <w:t>cómo abordaste y/o abordarás</w:t>
            </w:r>
            <w:r w:rsidR="00521026">
              <w:rPr>
                <w:rFonts w:ascii="Calibri" w:hAnsi="Calibri"/>
                <w:color w:val="00000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4832"/>
      </w:tblGrid>
      <w:tr w:rsidR="0003309E" w14:paraId="5B12D08B" w14:textId="77777777" w:rsidTr="00C5122E">
        <w:trPr/>
        <w:tc>
          <w:tcPr>
            <w:tcW w:w="14832" w:type="dxa"/>
            <w:vAlign w:val="center"/>
          </w:tcPr>
          <w:p>
            <w:pPr>
              <w:spacing w:before="40" w:after="60" w:line="264" w:lineRule="auto"/>
              <w:jc w:val="left"/>
            </w:pPr>
            <w:r/>
            <w:r>
              <w:rPr>
                <w:rFonts w:ascii="Calibri" w:hAnsi="Calibri"/>
                <w:b w:val="0"/>
                <w:i w:val="0"/>
                <w:color w:val="282828"/>
                <w:sz w:val="19"/>
              </w:rPr>
              <w:t>Factores que han facilitado y dificultado el desarrollo del plan de trabajo:</w:t>
            </w:r>
          </w:p>
          <w:p>
            <w:pPr>
              <w:spacing w:before="40" w:after="60" w:line="264" w:lineRule="auto"/>
              <w:jc w:val="left"/>
            </w:pPr>
            <w:r>
              <w:rPr>
                <w:rFonts w:ascii="Calibri" w:hAnsi="Calibri"/>
                <w:b w:val="0"/>
                <w:i w:val="0"/>
                <w:color w:val="282828"/>
                <w:sz w:val="19"/>
              </w:rPr>
              <w:t>Factores facilitadores:</w:t>
              <w:br/>
              <w:t>1. Arquitectura desacoplada y moderna: La combinación de Next.js App Router y Supabase (BaaS) permitió un desarrollo ágil con tipado estricto en TypeScript y seguridad a nivel de base de datos mediante Row Level Security (RLS).</w:t>
              <w:br/>
              <w:t>2. Metodología incremental rigurosa: La ejecución disciplinada de 4 Sprints quincenales y el llenado semanal de las Fichas de Avance 01 a 05 permitieron detectar brechas a tiempo y elevar el avance del 76.25 % al 87.50 %.</w:t>
              <w:br/>
              <w:t>3. Enfoque centrado en el usuario: El diseño de interfaces responsivas optimizadas para uso móvil (PWA/Stitch UI) facilitó la adopción del Pase QR por parte de las alumnas y del escáner web por los profesores.</w:t>
            </w:r>
          </w:p>
          <w:p>
            <w:pPr>
              <w:spacing w:before="40" w:after="60" w:line="264" w:lineRule="auto"/>
              <w:jc w:val="left"/>
            </w:pPr>
            <w:r>
              <w:rPr>
                <w:rFonts w:ascii="Calibri" w:hAnsi="Calibri"/>
                <w:b w:val="0"/>
                <w:i w:val="0"/>
                <w:color w:val="282828"/>
                <w:sz w:val="19"/>
              </w:rPr>
              <w:t>Dificultades enfrentadas y abordaje aplicado:</w:t>
              <w:br/>
              <w:t>1. Variabilidad de dispositivos y condiciones de iluminación: Las diferencias en hardware de cámaras en teléfonos de los docentes podían obstaculizar la lectura fluida del QR en salas de baile con iluminación tenue. Se abordó implementando un mecanismo de contingencia manual con PIN de 4 dígitos en la nómina, garantizando un registro de asistencia sin interrupciones operativas.</w:t>
              <w:br/>
              <w:t>2. Integridad referencial en cancelaciones de clases: La eliminación de clases programadas con reservas o asistencias previas generaba errores de clave foránea. Se resolvió creando la rutina transaccional 'deleteClassesCascade', que depura ordenadamente asistencias, reservas y notificaciones antes de remover la sesión.</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4832"/>
      </w:tblGrid>
      <w:tr w:rsidR="0003309E" w:rsidRPr="00711C16" w14:paraId="56B8FCE9" w14:textId="77777777" w:rsidTr="00C5122E">
        <w:trPr/>
        <w:tc>
          <w:tcPr>
            <w:tcW w:w="14832" w:type="dxa"/>
            <w:vAlign w:val="center"/>
          </w:tcPr>
          <w:p>
            <w:pPr>
              <w:spacing w:before="40" w:after="60" w:line="264" w:lineRule="auto"/>
              <w:jc w:val="left"/>
            </w:pPr>
            <w:r/>
            <w:r>
              <w:rPr>
                <w:rFonts w:ascii="Calibri" w:hAnsi="Calibri"/>
                <w:b w:val="0"/>
                <w:i w:val="0"/>
                <w:color w:val="282828"/>
                <w:sz w:val="19"/>
              </w:rPr>
              <w:t>Actividades ajustadas o eliminadas:</w:t>
            </w:r>
          </w:p>
          <w:p>
            <w:pPr>
              <w:spacing w:before="40" w:after="60" w:line="264" w:lineRule="auto"/>
              <w:jc w:val="left"/>
            </w:pPr>
            <w:r>
              <w:rPr>
                <w:rFonts w:ascii="Calibri" w:hAnsi="Calibri"/>
                <w:b w:val="0"/>
                <w:i w:val="0"/>
                <w:color w:val="282828"/>
                <w:sz w:val="19"/>
              </w:rPr>
              <w:t>Actividades ajustadas durante el desarrollo:</w:t>
              <w:br/>
              <w:t>1. Incorporación de contingencia manual con PIN (Actividad A13): Se ajustó el flujo original exclusivamente óptico del QR, agregando un modal de validación manual en la nómina docente para prevenir bloqueos de asistencia ante problemas de cámara o luz.</w:t>
              <w:br/>
              <w:t>2. Expiración de seguridad del Pase QR a 300 segundos (Actividad A09): Se ajustó el token QR para que contenga un hash dinámico con cuenta regresiva de 5 minutos, impidiendo la captura de pantalla compartida entre usuarias.</w:t>
              <w:br/>
              <w:t>3. Rutina 'deleteClassesCascade' en gestión de sesiones: Se incorporó en el backend una función transaccional para limpiar en cascada los registros huérfanos al cancelar una clase programada.</w:t>
              <w:br/>
              <w:t>4. Desacoplamiento del flujo de pagos por transferencia: Se estructuró el almacenamiento seguro de comprobantes bancarios en un bucket dedicado de Supabase Storage con auditoría manual antes de liberar créditos.</w:t>
            </w:r>
          </w:p>
          <w:p>
            <w:pPr>
              <w:spacing w:before="40" w:after="60" w:line="264" w:lineRule="auto"/>
              <w:jc w:val="left"/>
            </w:pPr>
            <w:r>
              <w:rPr>
                <w:rFonts w:ascii="Calibri" w:hAnsi="Calibri"/>
                <w:b w:val="0"/>
                <w:i w:val="0"/>
                <w:color w:val="282828"/>
                <w:sz w:val="19"/>
              </w:rPr>
              <w:t>Actividades eliminadas:</w:t>
              <w:br/>
              <w:t>No se eliminó ninguna funcionalidad esencial del alcance original de la versión 1.0. Todos los módulos comprometidos (autenticación, agenda, reservas, pagos, asistencia QR/manual y reportería) se mantienen activos y programados dentro del cronograma de 18 semanas.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149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4832"/>
      </w:tblGrid>
      <w:tr w:rsidR="0003309E" w:rsidRPr="00711C16" w14:paraId="2284498D" w14:textId="77777777" w:rsidTr="00C5122E">
        <w:trPr/>
        <w:tc>
          <w:tcPr>
            <w:tcW w:w="14832" w:type="dxa"/>
            <w:vAlign w:val="center"/>
          </w:tcPr>
          <w:p>
            <w:pPr>
              <w:spacing w:before="40" w:after="60" w:line="264" w:lineRule="auto"/>
              <w:jc w:val="left"/>
            </w:pPr>
            <w:r/>
            <w:r>
              <w:rPr>
                <w:rFonts w:ascii="Calibri" w:hAnsi="Calibri"/>
                <w:b w:val="0"/>
                <w:i w:val="0"/>
                <w:color w:val="282828"/>
                <w:sz w:val="19"/>
              </w:rPr>
              <w:t>Actividades no iniciadas o reprogramadas:</w:t>
            </w:r>
          </w:p>
          <w:p>
            <w:pPr>
              <w:spacing w:before="40" w:after="60" w:line="264" w:lineRule="auto"/>
              <w:jc w:val="left"/>
            </w:pPr>
            <w:r>
              <w:rPr>
                <w:rFonts w:ascii="Calibri" w:hAnsi="Calibri"/>
                <w:b w:val="0"/>
                <w:i w:val="0"/>
                <w:color w:val="282828"/>
                <w:sz w:val="19"/>
              </w:rPr>
              <w:t>Estado de actividades y planificación de las 7 semanas restantes (Semanas 12 a 18):</w:t>
              <w:br/>
              <w:t>Con un cumplimiento real auditado del 87.50 % al término de la Semana 11, las actividades pendientes se encuentran identificadas y calendarizadas para asegurar una versión 1.0 estable y comprobable:</w:t>
              <w:br/>
              <w:t>1. Semana 12: Automatización de alertas de transferencias pendientes y módulo de auditoría rápida en panel administrativo para aprobación de membresías con un solo clic (cierre del módulo F06, restante 20 %).</w:t>
              <w:br/>
              <w:t>2. Semanas 13 y 14: Desarrollo del Dashboard consolidado de administración (F09), visualizando métricas de ocupación de salas, tasa de asistencia mensual por disciplina y saldo financiero consolidado.</w:t>
              <w:br/>
              <w:t>3. Semanas 15 y 16: Ejecución de pruebas de carga concurrente sobre el motor de reservas (simulación de demanda pico en apertura de horarios semanales) y auditoría final de políticas RLS en PostgreSQL.</w:t>
              <w:br/>
              <w:t>4. Semanas 17 y 18: Confección de manuales de usuario para administración y cuerpo docente, capacitación presencial y período de marcha blanca operativa previa a la entrega final del proyecto de título.</w:t>
            </w:r>
          </w:p>
          <w:p>
            <w:pPr>
              <w:spacing w:before="40" w:after="60" w:line="264" w:lineRule="auto"/>
              <w:jc w:val="left"/>
            </w:pPr>
            <w:r>
              <w:rPr>
                <w:rFonts w:ascii="Calibri" w:hAnsi="Calibri"/>
                <w:b w:val="0"/>
                <w:i w:val="0"/>
                <w:color w:val="282828"/>
                <w:sz w:val="19"/>
              </w:rPr>
              <w:t>Esta planificación garantiza que las últimas semanas no se destinen a programar nuevas funcionalidades desde cero, sino a la estabilización, validación de la experiencia de usuario y cierre documental riguroso.</w:t>
            </w:r>
          </w:p>
        </w:tc>
      </w:tr>
    </w:tbl>
    <w:p w14:paraId="23A72E3B" w14:textId="77777777" w:rsidR="0003309E" w:rsidRPr="0003309E" w:rsidRDefault="0003309E">
      <w:pPr>
        <w:rPr>
          <w:lang w:val="es-ES"/>
        </w:rPr>
      </w:pPr>
    </w:p>
    <w:sectPr w:rsidR="0003309E" w:rsidRPr="0003309E">
      <w:headerReference w:type="default" r:id="rId10"/>
      <w:pgSz w:w="16834" w:h="11909" w:orient="landscape"/>
      <w:pgMar w:top="1417" w:right="936" w:bottom="1417"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